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F6765" w14:textId="77777777" w:rsidR="002176C9" w:rsidRDefault="002176C9" w:rsidP="002176C9">
      <w:pPr>
        <w:jc w:val="both"/>
        <w:rPr>
          <w:rFonts w:ascii="Arial" w:hAnsi="Arial" w:cs="Arial"/>
          <w:b/>
          <w:sz w:val="32"/>
        </w:rPr>
      </w:pPr>
      <w:r w:rsidRPr="0000273F">
        <w:rPr>
          <w:rFonts w:ascii="Arial" w:hAnsi="Arial" w:cs="Arial"/>
          <w:b/>
          <w:sz w:val="32"/>
        </w:rPr>
        <w:t xml:space="preserve">Autophagy limits inflammatory gene expression through targeting of nuclear p65/RelA by LC3 and p62 </w:t>
      </w:r>
      <w:r>
        <w:rPr>
          <w:rFonts w:ascii="Arial" w:hAnsi="Arial" w:cs="Arial"/>
          <w:b/>
          <w:sz w:val="32"/>
        </w:rPr>
        <w:t>for</w:t>
      </w:r>
      <w:r w:rsidRPr="0000273F">
        <w:rPr>
          <w:rFonts w:ascii="Arial" w:hAnsi="Arial" w:cs="Arial"/>
          <w:b/>
          <w:sz w:val="32"/>
        </w:rPr>
        <w:t xml:space="preserve"> lysosomal degradation</w:t>
      </w:r>
    </w:p>
    <w:p w14:paraId="710E5B64" w14:textId="0BD5997A" w:rsidR="002176C9" w:rsidRDefault="002176C9" w:rsidP="002176C9">
      <w:pPr>
        <w:jc w:val="both"/>
        <w:rPr>
          <w:rFonts w:ascii="Arial" w:hAnsi="Arial" w:cs="Arial"/>
          <w:b/>
          <w:sz w:val="24"/>
          <w:szCs w:val="18"/>
        </w:rPr>
      </w:pPr>
      <w:r>
        <w:rPr>
          <w:rFonts w:ascii="Arial" w:hAnsi="Arial" w:cs="Arial"/>
          <w:b/>
          <w:sz w:val="24"/>
          <w:szCs w:val="18"/>
        </w:rPr>
        <w:t>Cristina Brischetto</w:t>
      </w:r>
      <w:r w:rsidRPr="00FF65DD">
        <w:rPr>
          <w:rFonts w:ascii="Arial" w:hAnsi="Arial" w:cs="Arial"/>
          <w:b/>
          <w:sz w:val="24"/>
          <w:szCs w:val="18"/>
          <w:vertAlign w:val="superscript"/>
        </w:rPr>
        <w:t>1</w:t>
      </w:r>
      <w:r w:rsidR="002A58A4">
        <w:rPr>
          <w:rFonts w:ascii="Arial" w:hAnsi="Arial" w:cs="Arial"/>
          <w:b/>
          <w:sz w:val="24"/>
          <w:szCs w:val="18"/>
          <w:vertAlign w:val="superscript"/>
        </w:rPr>
        <w:t>*</w:t>
      </w:r>
      <w:r>
        <w:rPr>
          <w:rFonts w:ascii="Arial" w:hAnsi="Arial" w:cs="Arial"/>
          <w:b/>
          <w:sz w:val="24"/>
          <w:szCs w:val="18"/>
        </w:rPr>
        <w:t>, Patrick Mucka</w:t>
      </w:r>
      <w:r w:rsidRPr="00FF65DD">
        <w:rPr>
          <w:rFonts w:ascii="Arial" w:hAnsi="Arial" w:cs="Arial"/>
          <w:b/>
          <w:sz w:val="24"/>
          <w:szCs w:val="18"/>
          <w:vertAlign w:val="superscript"/>
        </w:rPr>
        <w:t>1</w:t>
      </w:r>
      <w:r>
        <w:rPr>
          <w:rFonts w:ascii="Arial" w:hAnsi="Arial" w:cs="Arial"/>
          <w:b/>
          <w:sz w:val="24"/>
          <w:szCs w:val="18"/>
        </w:rPr>
        <w:t>, Eva Ka</w:t>
      </w:r>
      <w:r w:rsidR="009940E0">
        <w:rPr>
          <w:rFonts w:ascii="Arial" w:hAnsi="Arial" w:cs="Arial"/>
          <w:b/>
          <w:sz w:val="24"/>
          <w:szCs w:val="18"/>
        </w:rPr>
        <w:t>e</w:t>
      </w:r>
      <w:r>
        <w:rPr>
          <w:rFonts w:ascii="Arial" w:hAnsi="Arial" w:cs="Arial"/>
          <w:b/>
          <w:sz w:val="24"/>
          <w:szCs w:val="18"/>
        </w:rPr>
        <w:t>rgel</w:t>
      </w:r>
      <w:r w:rsidRPr="00FF65DD">
        <w:rPr>
          <w:rFonts w:ascii="Arial" w:hAnsi="Arial" w:cs="Arial"/>
          <w:b/>
          <w:sz w:val="24"/>
          <w:szCs w:val="18"/>
          <w:vertAlign w:val="superscript"/>
        </w:rPr>
        <w:t>1</w:t>
      </w:r>
      <w:r>
        <w:rPr>
          <w:rFonts w:ascii="Arial" w:hAnsi="Arial" w:cs="Arial"/>
          <w:b/>
          <w:sz w:val="24"/>
          <w:szCs w:val="18"/>
        </w:rPr>
        <w:t xml:space="preserve"> and Claus Scheidereit</w:t>
      </w:r>
      <w:r w:rsidRPr="00FF65DD">
        <w:rPr>
          <w:rFonts w:ascii="Arial" w:hAnsi="Arial" w:cs="Arial"/>
          <w:b/>
          <w:sz w:val="24"/>
          <w:szCs w:val="18"/>
          <w:vertAlign w:val="superscript"/>
        </w:rPr>
        <w:t>1</w:t>
      </w:r>
      <w:r>
        <w:rPr>
          <w:rFonts w:ascii="Arial" w:hAnsi="Arial" w:cs="Arial"/>
          <w:b/>
          <w:sz w:val="24"/>
          <w:szCs w:val="18"/>
        </w:rPr>
        <w:t>*</w:t>
      </w:r>
      <w:r w:rsidR="002A58A4" w:rsidRPr="00600A17">
        <w:rPr>
          <w:rFonts w:ascii="Arial" w:hAnsi="Arial" w:cs="Arial"/>
          <w:b/>
          <w:sz w:val="24"/>
          <w:szCs w:val="18"/>
          <w:vertAlign w:val="superscript"/>
        </w:rPr>
        <w:t>#</w:t>
      </w:r>
    </w:p>
    <w:p w14:paraId="49AC07BB" w14:textId="740018A8" w:rsidR="00222EEB" w:rsidRDefault="00222EEB"/>
    <w:p w14:paraId="42BEE78E" w14:textId="4ED0DAA4" w:rsidR="002176C9" w:rsidRDefault="002176C9">
      <w:pPr>
        <w:rPr>
          <w:rFonts w:ascii="Arial" w:hAnsi="Arial" w:cs="Arial"/>
          <w:sz w:val="24"/>
          <w:szCs w:val="24"/>
        </w:rPr>
      </w:pPr>
      <w:r>
        <w:rPr>
          <w:rFonts w:ascii="Arial" w:hAnsi="Arial" w:cs="Arial"/>
          <w:sz w:val="24"/>
          <w:szCs w:val="24"/>
        </w:rPr>
        <w:t>Material included in Supp</w:t>
      </w:r>
      <w:r w:rsidR="003D0EAD">
        <w:rPr>
          <w:rFonts w:ascii="Arial" w:hAnsi="Arial" w:cs="Arial"/>
          <w:sz w:val="24"/>
          <w:szCs w:val="24"/>
        </w:rPr>
        <w:t>lemental</w:t>
      </w:r>
      <w:r>
        <w:rPr>
          <w:rFonts w:ascii="Arial" w:hAnsi="Arial" w:cs="Arial"/>
          <w:sz w:val="24"/>
          <w:szCs w:val="24"/>
        </w:rPr>
        <w:t xml:space="preserve"> </w:t>
      </w:r>
      <w:r w:rsidR="002F3963">
        <w:rPr>
          <w:rFonts w:ascii="Arial" w:hAnsi="Arial" w:cs="Arial"/>
          <w:sz w:val="24"/>
          <w:szCs w:val="24"/>
        </w:rPr>
        <w:t>Information</w:t>
      </w:r>
      <w:r>
        <w:rPr>
          <w:rFonts w:ascii="Arial" w:hAnsi="Arial" w:cs="Arial"/>
          <w:sz w:val="24"/>
          <w:szCs w:val="24"/>
        </w:rPr>
        <w:t>:</w:t>
      </w:r>
    </w:p>
    <w:p w14:paraId="1AEA2F0B" w14:textId="77777777" w:rsidR="002176C9" w:rsidRDefault="002176C9">
      <w:pPr>
        <w:rPr>
          <w:rFonts w:ascii="Arial" w:hAnsi="Arial" w:cs="Arial"/>
          <w:b/>
          <w:bCs/>
          <w:sz w:val="24"/>
          <w:szCs w:val="24"/>
        </w:rPr>
      </w:pPr>
    </w:p>
    <w:p w14:paraId="37743FCA" w14:textId="14264322" w:rsidR="002176C9" w:rsidRDefault="002176C9">
      <w:pPr>
        <w:rPr>
          <w:rFonts w:ascii="Arial" w:hAnsi="Arial" w:cs="Arial"/>
          <w:b/>
          <w:bCs/>
          <w:sz w:val="24"/>
          <w:szCs w:val="24"/>
        </w:rPr>
      </w:pPr>
      <w:r w:rsidRPr="002176C9">
        <w:rPr>
          <w:rFonts w:ascii="Arial" w:hAnsi="Arial" w:cs="Arial"/>
          <w:b/>
          <w:bCs/>
          <w:sz w:val="24"/>
          <w:szCs w:val="24"/>
        </w:rPr>
        <w:t>S1</w:t>
      </w:r>
      <w:r>
        <w:rPr>
          <w:rFonts w:ascii="Arial" w:hAnsi="Arial" w:cs="Arial"/>
          <w:b/>
          <w:bCs/>
          <w:sz w:val="24"/>
          <w:szCs w:val="24"/>
        </w:rPr>
        <w:t>-</w:t>
      </w:r>
      <w:r w:rsidRPr="002176C9">
        <w:rPr>
          <w:rFonts w:ascii="Arial" w:hAnsi="Arial" w:cs="Arial"/>
          <w:b/>
          <w:bCs/>
          <w:sz w:val="24"/>
          <w:szCs w:val="24"/>
        </w:rPr>
        <w:t xml:space="preserve"> Autophagy induction following NF-κB activation</w:t>
      </w:r>
    </w:p>
    <w:p w14:paraId="036F014D" w14:textId="213A8CF7" w:rsidR="002C6FCE" w:rsidRDefault="002176C9">
      <w:pPr>
        <w:rPr>
          <w:rFonts w:ascii="Arial" w:hAnsi="Arial" w:cs="Arial"/>
          <w:b/>
          <w:bCs/>
          <w:sz w:val="24"/>
          <w:szCs w:val="24"/>
        </w:rPr>
      </w:pPr>
      <w:r w:rsidRPr="002176C9">
        <w:rPr>
          <w:rFonts w:ascii="Arial" w:hAnsi="Arial" w:cs="Arial"/>
          <w:b/>
          <w:bCs/>
          <w:sz w:val="24"/>
          <w:szCs w:val="24"/>
        </w:rPr>
        <w:t>S2</w:t>
      </w:r>
      <w:r>
        <w:rPr>
          <w:rFonts w:ascii="Arial" w:hAnsi="Arial" w:cs="Arial"/>
          <w:b/>
          <w:bCs/>
          <w:sz w:val="24"/>
          <w:szCs w:val="24"/>
        </w:rPr>
        <w:t>-</w:t>
      </w:r>
      <w:r w:rsidRPr="002176C9">
        <w:rPr>
          <w:rFonts w:ascii="Arial" w:hAnsi="Arial" w:cs="Arial"/>
          <w:b/>
          <w:bCs/>
          <w:sz w:val="24"/>
          <w:szCs w:val="24"/>
        </w:rPr>
        <w:t xml:space="preserve"> </w:t>
      </w:r>
      <w:r w:rsidR="002C6FCE" w:rsidRPr="002C6FCE">
        <w:rPr>
          <w:rFonts w:ascii="Arial" w:hAnsi="Arial" w:cs="Arial"/>
          <w:b/>
          <w:bCs/>
          <w:sz w:val="24"/>
          <w:szCs w:val="24"/>
        </w:rPr>
        <w:t>p62 binds</w:t>
      </w:r>
      <w:r w:rsidR="00BC24AC">
        <w:rPr>
          <w:rFonts w:ascii="Arial" w:hAnsi="Arial" w:cs="Arial"/>
          <w:b/>
          <w:bCs/>
          <w:sz w:val="24"/>
          <w:szCs w:val="24"/>
        </w:rPr>
        <w:t xml:space="preserve"> to the </w:t>
      </w:r>
      <w:r w:rsidR="002C6FCE" w:rsidRPr="002C6FCE">
        <w:rPr>
          <w:rFonts w:ascii="Arial" w:hAnsi="Arial" w:cs="Arial"/>
          <w:b/>
          <w:bCs/>
          <w:sz w:val="24"/>
          <w:szCs w:val="24"/>
        </w:rPr>
        <w:t>NF-κB</w:t>
      </w:r>
      <w:r w:rsidR="00BC24AC">
        <w:rPr>
          <w:rFonts w:ascii="Arial" w:hAnsi="Arial" w:cs="Arial"/>
          <w:b/>
          <w:bCs/>
          <w:sz w:val="24"/>
          <w:szCs w:val="24"/>
        </w:rPr>
        <w:t xml:space="preserve"> </w:t>
      </w:r>
      <w:r w:rsidR="002C6FCE" w:rsidRPr="002C6FCE">
        <w:rPr>
          <w:rFonts w:ascii="Arial" w:hAnsi="Arial" w:cs="Arial"/>
          <w:b/>
          <w:bCs/>
          <w:sz w:val="24"/>
          <w:szCs w:val="24"/>
        </w:rPr>
        <w:t xml:space="preserve">p65 subunit </w:t>
      </w:r>
    </w:p>
    <w:p w14:paraId="56C4B612" w14:textId="5B0900C2" w:rsidR="002176C9" w:rsidRDefault="002176C9">
      <w:pPr>
        <w:rPr>
          <w:rFonts w:ascii="Arial" w:hAnsi="Arial" w:cs="Arial"/>
          <w:b/>
          <w:bCs/>
          <w:sz w:val="24"/>
          <w:szCs w:val="24"/>
        </w:rPr>
      </w:pPr>
      <w:r w:rsidRPr="002176C9">
        <w:rPr>
          <w:rFonts w:ascii="Arial" w:hAnsi="Arial" w:cs="Arial"/>
          <w:b/>
          <w:bCs/>
          <w:sz w:val="24"/>
          <w:szCs w:val="24"/>
        </w:rPr>
        <w:t>S3</w:t>
      </w:r>
      <w:r>
        <w:rPr>
          <w:rFonts w:ascii="Arial" w:hAnsi="Arial" w:cs="Arial"/>
          <w:b/>
          <w:bCs/>
          <w:sz w:val="24"/>
          <w:szCs w:val="24"/>
        </w:rPr>
        <w:t>-</w:t>
      </w:r>
      <w:r w:rsidRPr="002176C9">
        <w:rPr>
          <w:rFonts w:ascii="Arial" w:hAnsi="Arial" w:cs="Arial"/>
          <w:b/>
          <w:bCs/>
          <w:sz w:val="24"/>
          <w:szCs w:val="24"/>
        </w:rPr>
        <w:t xml:space="preserve"> p62 depletion increases early stress-induced NF-κB activation</w:t>
      </w:r>
    </w:p>
    <w:p w14:paraId="071277AD" w14:textId="6A85CEF5" w:rsidR="002176C9" w:rsidRDefault="002176C9">
      <w:pPr>
        <w:rPr>
          <w:rFonts w:ascii="Arial" w:hAnsi="Arial" w:cs="Arial"/>
          <w:b/>
          <w:bCs/>
          <w:sz w:val="24"/>
          <w:szCs w:val="24"/>
        </w:rPr>
      </w:pPr>
    </w:p>
    <w:p w14:paraId="2A61862A" w14:textId="7A64C814" w:rsidR="002176C9" w:rsidRDefault="002176C9">
      <w:pPr>
        <w:rPr>
          <w:rFonts w:ascii="Arial" w:hAnsi="Arial" w:cs="Arial"/>
          <w:b/>
          <w:bCs/>
          <w:sz w:val="24"/>
          <w:szCs w:val="24"/>
        </w:rPr>
      </w:pPr>
    </w:p>
    <w:p w14:paraId="075CAAC5" w14:textId="090FF2A7" w:rsidR="002176C9" w:rsidRDefault="002176C9">
      <w:pPr>
        <w:rPr>
          <w:rFonts w:ascii="Arial" w:hAnsi="Arial" w:cs="Arial"/>
          <w:b/>
          <w:bCs/>
          <w:sz w:val="24"/>
          <w:szCs w:val="24"/>
        </w:rPr>
      </w:pPr>
    </w:p>
    <w:p w14:paraId="43DCB527" w14:textId="051E73C3" w:rsidR="002176C9" w:rsidRDefault="002176C9">
      <w:pPr>
        <w:rPr>
          <w:rFonts w:ascii="Arial" w:hAnsi="Arial" w:cs="Arial"/>
          <w:b/>
          <w:bCs/>
          <w:sz w:val="24"/>
          <w:szCs w:val="24"/>
        </w:rPr>
      </w:pPr>
    </w:p>
    <w:p w14:paraId="7C4BA41A" w14:textId="7CE37659" w:rsidR="002176C9" w:rsidRDefault="002176C9">
      <w:pPr>
        <w:rPr>
          <w:rFonts w:ascii="Arial" w:hAnsi="Arial" w:cs="Arial"/>
          <w:b/>
          <w:bCs/>
          <w:sz w:val="24"/>
          <w:szCs w:val="24"/>
        </w:rPr>
      </w:pPr>
    </w:p>
    <w:p w14:paraId="3D402CBE" w14:textId="62014AF7" w:rsidR="002176C9" w:rsidRDefault="002176C9">
      <w:pPr>
        <w:rPr>
          <w:rFonts w:ascii="Arial" w:hAnsi="Arial" w:cs="Arial"/>
          <w:b/>
          <w:bCs/>
          <w:sz w:val="24"/>
          <w:szCs w:val="24"/>
        </w:rPr>
      </w:pPr>
    </w:p>
    <w:p w14:paraId="66A5CCAE" w14:textId="01AA1F15" w:rsidR="002176C9" w:rsidRDefault="002176C9">
      <w:pPr>
        <w:rPr>
          <w:rFonts w:ascii="Arial" w:hAnsi="Arial" w:cs="Arial"/>
          <w:b/>
          <w:bCs/>
          <w:sz w:val="24"/>
          <w:szCs w:val="24"/>
        </w:rPr>
      </w:pPr>
    </w:p>
    <w:p w14:paraId="7677235F" w14:textId="5394DCF0" w:rsidR="002176C9" w:rsidRDefault="002176C9">
      <w:pPr>
        <w:rPr>
          <w:rFonts w:ascii="Arial" w:hAnsi="Arial" w:cs="Arial"/>
          <w:b/>
          <w:bCs/>
          <w:sz w:val="24"/>
          <w:szCs w:val="24"/>
        </w:rPr>
      </w:pPr>
    </w:p>
    <w:p w14:paraId="10ECB816" w14:textId="645ECFC0" w:rsidR="002176C9" w:rsidRDefault="002176C9">
      <w:pPr>
        <w:rPr>
          <w:rFonts w:ascii="Arial" w:hAnsi="Arial" w:cs="Arial"/>
          <w:b/>
          <w:bCs/>
          <w:sz w:val="24"/>
          <w:szCs w:val="24"/>
        </w:rPr>
      </w:pPr>
    </w:p>
    <w:p w14:paraId="2454D597" w14:textId="7ABCD8A8" w:rsidR="002176C9" w:rsidRDefault="002176C9">
      <w:pPr>
        <w:rPr>
          <w:rFonts w:ascii="Arial" w:hAnsi="Arial" w:cs="Arial"/>
          <w:b/>
          <w:bCs/>
          <w:sz w:val="24"/>
          <w:szCs w:val="24"/>
        </w:rPr>
      </w:pPr>
    </w:p>
    <w:p w14:paraId="07046B5A" w14:textId="1FBA7915" w:rsidR="00226908" w:rsidRPr="00F45B2A" w:rsidRDefault="002176C9" w:rsidP="00F45B2A">
      <w:pPr>
        <w:spacing w:line="360" w:lineRule="auto"/>
        <w:jc w:val="both"/>
        <w:rPr>
          <w:rFonts w:ascii="Arial" w:hAnsi="Arial" w:cs="Arial"/>
          <w:b/>
          <w:bCs/>
          <w:sz w:val="24"/>
          <w:szCs w:val="24"/>
        </w:rPr>
      </w:pPr>
      <w:r>
        <w:rPr>
          <w:rFonts w:ascii="Arial" w:hAnsi="Arial" w:cs="Arial"/>
          <w:b/>
          <w:bCs/>
          <w:sz w:val="24"/>
          <w:szCs w:val="24"/>
        </w:rPr>
        <w:br w:type="page"/>
      </w:r>
    </w:p>
    <w:p w14:paraId="4890EC0F" w14:textId="7A2E90C3" w:rsidR="002176C9" w:rsidRDefault="00C04898">
      <w:pPr>
        <w:rPr>
          <w:rFonts w:ascii="Arial" w:hAnsi="Arial" w:cs="Arial"/>
          <w:b/>
          <w:bCs/>
          <w:sz w:val="24"/>
          <w:szCs w:val="24"/>
        </w:rPr>
      </w:pPr>
      <w:r>
        <w:rPr>
          <w:rFonts w:ascii="Arial" w:hAnsi="Arial" w:cs="Arial"/>
          <w:b/>
          <w:bCs/>
          <w:noProof/>
          <w:sz w:val="24"/>
          <w:szCs w:val="24"/>
          <w:lang w:val="de-DE" w:eastAsia="de-DE"/>
        </w:rPr>
        <w:lastRenderedPageBreak/>
        <w:drawing>
          <wp:inline distT="0" distB="0" distL="0" distR="0" wp14:anchorId="677494A7" wp14:editId="327C6405">
            <wp:extent cx="5939790" cy="5441950"/>
            <wp:effectExtent l="0" t="0" r="3810" b="635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39790" cy="5441950"/>
                    </a:xfrm>
                    <a:prstGeom prst="rect">
                      <a:avLst/>
                    </a:prstGeom>
                  </pic:spPr>
                </pic:pic>
              </a:graphicData>
            </a:graphic>
          </wp:inline>
        </w:drawing>
      </w:r>
    </w:p>
    <w:p w14:paraId="7E3147A0" w14:textId="4395C58D" w:rsidR="002176C9" w:rsidRDefault="002176C9">
      <w:pPr>
        <w:rPr>
          <w:rFonts w:ascii="Arial" w:hAnsi="Arial" w:cs="Arial"/>
          <w:b/>
          <w:bCs/>
          <w:sz w:val="24"/>
          <w:szCs w:val="24"/>
        </w:rPr>
      </w:pPr>
    </w:p>
    <w:p w14:paraId="55A86308" w14:textId="1552F0C5" w:rsidR="005C3DB8" w:rsidRPr="002C6FCE" w:rsidRDefault="002176C9" w:rsidP="002C6FCE">
      <w:pPr>
        <w:jc w:val="both"/>
        <w:rPr>
          <w:rFonts w:ascii="Arial" w:hAnsi="Arial" w:cs="Arial"/>
        </w:rPr>
      </w:pPr>
      <w:bookmarkStart w:id="0" w:name="_Hlk112322251"/>
      <w:r>
        <w:rPr>
          <w:rFonts w:ascii="Arial" w:hAnsi="Arial" w:cs="Arial"/>
          <w:b/>
          <w:bCs/>
        </w:rPr>
        <w:t>S1. Autophagy induction following NF-κB activation</w:t>
      </w:r>
      <w:bookmarkEnd w:id="0"/>
      <w:r w:rsidR="00CA3F18">
        <w:rPr>
          <w:rFonts w:ascii="Arial" w:hAnsi="Arial" w:cs="Arial"/>
          <w:b/>
          <w:bCs/>
        </w:rPr>
        <w:t>: a</w:t>
      </w:r>
      <w:r>
        <w:rPr>
          <w:rFonts w:ascii="Arial" w:hAnsi="Arial" w:cs="Arial"/>
        </w:rPr>
        <w:t>) Western blot (WB) analysis for the autophagy protein marker LC3</w:t>
      </w:r>
      <w:r w:rsidR="00C04898">
        <w:rPr>
          <w:rFonts w:ascii="Arial" w:hAnsi="Arial" w:cs="Arial"/>
        </w:rPr>
        <w:t xml:space="preserve"> and</w:t>
      </w:r>
      <w:r>
        <w:rPr>
          <w:rFonts w:ascii="Arial" w:hAnsi="Arial" w:cs="Arial"/>
        </w:rPr>
        <w:t xml:space="preserve"> phosphorylated NF-κB subunit p65 after 90 min irradiation (IR 80 Gy), 1 hour LPS (10 µg) or TNFα (10 ng) treatment in embryonic fibroblasts (MEF). </w:t>
      </w:r>
      <w:r w:rsidR="00CA3F18" w:rsidRPr="002F3963">
        <w:rPr>
          <w:rFonts w:ascii="Arial" w:hAnsi="Arial" w:cs="Arial"/>
          <w:b/>
          <w:bCs/>
        </w:rPr>
        <w:t>b</w:t>
      </w:r>
      <w:r w:rsidRPr="002F3963">
        <w:rPr>
          <w:rFonts w:ascii="Arial" w:hAnsi="Arial" w:cs="Arial"/>
          <w:bCs/>
        </w:rPr>
        <w:t>)</w:t>
      </w:r>
      <w:r w:rsidR="00CA3F18" w:rsidRPr="002F3963">
        <w:rPr>
          <w:rFonts w:ascii="Arial" w:hAnsi="Arial" w:cs="Arial"/>
          <w:bCs/>
        </w:rPr>
        <w:t xml:space="preserve"> Quantification of GFP-LC3 puncta number from the images in Fig. 1b performed using ImageJ quantification tool. Data are means ± SEM of three independent experiments with &gt;15 cells quantified for each condition.</w:t>
      </w:r>
      <w:r w:rsidR="00436CD3" w:rsidRPr="002F3963">
        <w:t xml:space="preserve"> </w:t>
      </w:r>
      <w:r w:rsidR="00436CD3" w:rsidRPr="002F3963">
        <w:rPr>
          <w:rFonts w:ascii="Arial" w:hAnsi="Arial" w:cs="Arial"/>
          <w:bCs/>
        </w:rPr>
        <w:t>Statistical analys</w:t>
      </w:r>
      <w:r w:rsidR="00B76ED1" w:rsidRPr="002F3963">
        <w:rPr>
          <w:rFonts w:ascii="Arial" w:hAnsi="Arial" w:cs="Arial"/>
          <w:bCs/>
        </w:rPr>
        <w:t>i</w:t>
      </w:r>
      <w:r w:rsidR="00436CD3" w:rsidRPr="002F3963">
        <w:rPr>
          <w:rFonts w:ascii="Arial" w:hAnsi="Arial" w:cs="Arial"/>
          <w:bCs/>
        </w:rPr>
        <w:t>s w</w:t>
      </w:r>
      <w:r w:rsidR="00B76ED1" w:rsidRPr="002F3963">
        <w:rPr>
          <w:rFonts w:ascii="Arial" w:hAnsi="Arial" w:cs="Arial"/>
          <w:bCs/>
        </w:rPr>
        <w:t>as</w:t>
      </w:r>
      <w:r w:rsidR="00436CD3" w:rsidRPr="002F3963">
        <w:rPr>
          <w:rFonts w:ascii="Arial" w:hAnsi="Arial" w:cs="Arial"/>
          <w:bCs/>
        </w:rPr>
        <w:t xml:space="preserve"> performed by one-way ANOVA followed by Bonferroni’s multiple comparison test (**p &lt; 0.01, ****p &lt; 0.0001) using GraphPad Prism 8. </w:t>
      </w:r>
      <w:r w:rsidR="00436CD3" w:rsidRPr="002F3963">
        <w:rPr>
          <w:rFonts w:ascii="Arial" w:hAnsi="Arial" w:cs="Arial"/>
          <w:b/>
        </w:rPr>
        <w:t>c</w:t>
      </w:r>
      <w:r w:rsidR="00436CD3" w:rsidRPr="002F3963">
        <w:rPr>
          <w:rFonts w:ascii="Arial" w:hAnsi="Arial" w:cs="Arial"/>
          <w:bCs/>
        </w:rPr>
        <w:t>)</w:t>
      </w:r>
      <w:r w:rsidR="00CA3F18" w:rsidRPr="00CA3F18">
        <w:rPr>
          <w:rFonts w:ascii="Arial" w:hAnsi="Arial" w:cs="Arial"/>
          <w:bCs/>
        </w:rPr>
        <w:t xml:space="preserve"> </w:t>
      </w:r>
      <w:r>
        <w:rPr>
          <w:rFonts w:ascii="Arial" w:hAnsi="Arial" w:cs="Arial"/>
        </w:rPr>
        <w:t>Immunofluorescence staining for LC3 (red) and p65 (green) using A549 cells in untreated, TNFα stimulation or irradiation (IR 20Gy) conditions. Nuclei were stained with DAPI. The images shown are representative fluorescence confocal microscopic photographs</w:t>
      </w:r>
      <w:r w:rsidR="00436CD3">
        <w:rPr>
          <w:rFonts w:ascii="Arial" w:hAnsi="Arial" w:cs="Arial"/>
        </w:rPr>
        <w:t xml:space="preserve"> of n=3 independent experiments</w:t>
      </w:r>
      <w:r>
        <w:rPr>
          <w:rFonts w:ascii="Arial" w:hAnsi="Arial" w:cs="Arial"/>
        </w:rPr>
        <w:t xml:space="preserve"> (scale bars 10 μm). </w:t>
      </w:r>
      <w:r w:rsidR="00436CD3" w:rsidRPr="00436CD3">
        <w:rPr>
          <w:rFonts w:ascii="Arial" w:hAnsi="Arial" w:cs="Arial"/>
          <w:b/>
          <w:bCs/>
        </w:rPr>
        <w:t>d</w:t>
      </w:r>
      <w:r w:rsidRPr="00436CD3">
        <w:rPr>
          <w:rFonts w:ascii="Arial" w:hAnsi="Arial" w:cs="Arial"/>
          <w:b/>
          <w:bCs/>
        </w:rPr>
        <w:t>-</w:t>
      </w:r>
      <w:r w:rsidR="00436CD3" w:rsidRPr="00436CD3">
        <w:rPr>
          <w:rFonts w:ascii="Arial" w:hAnsi="Arial" w:cs="Arial"/>
          <w:b/>
          <w:bCs/>
        </w:rPr>
        <w:t>f</w:t>
      </w:r>
      <w:r w:rsidR="00436CD3">
        <w:rPr>
          <w:rFonts w:ascii="Arial" w:hAnsi="Arial" w:cs="Arial"/>
        </w:rPr>
        <w:t>)</w:t>
      </w:r>
      <w:r>
        <w:rPr>
          <w:rFonts w:ascii="Arial" w:hAnsi="Arial" w:cs="Arial"/>
        </w:rPr>
        <w:t xml:space="preserve"> HEK293T cells were transfected with the myc-p65 plasmid 24 hours before analysis. Cell lysates were added to beads with immobilized GST-fusion LC3-like modifiers</w:t>
      </w:r>
      <w:r>
        <w:t xml:space="preserve"> </w:t>
      </w:r>
      <w:r>
        <w:rPr>
          <w:rFonts w:ascii="Arial" w:hAnsi="Arial" w:cs="Arial"/>
        </w:rPr>
        <w:t>(GST, GST-LC3A, GST-LC3B, GST-LC3C, GST-GABARAP, GST-GABARAPL1, GST-GABARAPL2, GST-Ub, GST-4XUb (</w:t>
      </w:r>
      <w:r w:rsidR="00436CD3" w:rsidRPr="002F3963">
        <w:rPr>
          <w:rFonts w:ascii="Arial" w:hAnsi="Arial" w:cs="Arial"/>
          <w:b/>
        </w:rPr>
        <w:t>d</w:t>
      </w:r>
      <w:r>
        <w:rPr>
          <w:rFonts w:ascii="Arial" w:hAnsi="Arial" w:cs="Arial"/>
        </w:rPr>
        <w:t>) or the LC3 like modifiers lacking the unique N-terminus (dN) (</w:t>
      </w:r>
      <w:r w:rsidR="00436CD3">
        <w:rPr>
          <w:rFonts w:ascii="Arial" w:hAnsi="Arial" w:cs="Arial"/>
        </w:rPr>
        <w:t>e</w:t>
      </w:r>
      <w:r>
        <w:rPr>
          <w:rFonts w:ascii="Arial" w:hAnsi="Arial" w:cs="Arial"/>
        </w:rPr>
        <w:t>) and GSTLC3BF52A-V53A (</w:t>
      </w:r>
      <w:r w:rsidR="00436CD3" w:rsidRPr="002F3963">
        <w:rPr>
          <w:rFonts w:ascii="Arial" w:hAnsi="Arial" w:cs="Arial"/>
          <w:b/>
        </w:rPr>
        <w:t>f</w:t>
      </w:r>
      <w:r>
        <w:rPr>
          <w:rFonts w:ascii="Arial" w:hAnsi="Arial" w:cs="Arial"/>
        </w:rPr>
        <w:t xml:space="preserve">)), </w:t>
      </w:r>
      <w:bookmarkStart w:id="1" w:name="_Hlk117590347"/>
      <w:r>
        <w:rPr>
          <w:rFonts w:ascii="Arial" w:hAnsi="Arial" w:cs="Arial"/>
        </w:rPr>
        <w:t>followed by WB using an antibody against myc</w:t>
      </w:r>
      <w:r w:rsidR="00436CD3">
        <w:rPr>
          <w:rFonts w:ascii="Arial" w:hAnsi="Arial" w:cs="Arial"/>
        </w:rPr>
        <w:t>-</w:t>
      </w:r>
      <w:r>
        <w:rPr>
          <w:rFonts w:ascii="Arial" w:hAnsi="Arial" w:cs="Arial"/>
        </w:rPr>
        <w:t xml:space="preserve"> tag.</w:t>
      </w:r>
      <w:r>
        <w:t xml:space="preserve"> </w:t>
      </w:r>
      <w:r>
        <w:rPr>
          <w:rFonts w:ascii="Arial" w:hAnsi="Arial" w:cs="Arial"/>
        </w:rPr>
        <w:t>Ponceau stain gels (bottom) represent the amount of GST beads constructs used for the GST-pulldown assays. All data are representative of n≥3 independent experiments.</w:t>
      </w:r>
      <w:bookmarkEnd w:id="1"/>
    </w:p>
    <w:p w14:paraId="281570EA" w14:textId="099847FA" w:rsidR="00226908" w:rsidRDefault="00F45B2A" w:rsidP="005C3DB8">
      <w:pPr>
        <w:jc w:val="center"/>
        <w:rPr>
          <w:rFonts w:ascii="Arial" w:hAnsi="Arial" w:cs="Arial"/>
          <w:b/>
          <w:bCs/>
          <w:sz w:val="32"/>
          <w:szCs w:val="32"/>
        </w:rPr>
      </w:pPr>
      <w:r>
        <w:rPr>
          <w:rFonts w:ascii="Arial" w:hAnsi="Arial" w:cs="Arial"/>
          <w:b/>
          <w:bCs/>
          <w:noProof/>
          <w:sz w:val="32"/>
          <w:szCs w:val="32"/>
          <w:lang w:val="de-DE" w:eastAsia="de-DE"/>
        </w:rPr>
        <w:lastRenderedPageBreak/>
        <w:drawing>
          <wp:inline distT="0" distB="0" distL="0" distR="0" wp14:anchorId="320DF107" wp14:editId="111B31B7">
            <wp:extent cx="5939790" cy="8505190"/>
            <wp:effectExtent l="0" t="0" r="381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39790" cy="8505190"/>
                    </a:xfrm>
                    <a:prstGeom prst="rect">
                      <a:avLst/>
                    </a:prstGeom>
                  </pic:spPr>
                </pic:pic>
              </a:graphicData>
            </a:graphic>
          </wp:inline>
        </w:drawing>
      </w:r>
    </w:p>
    <w:p w14:paraId="057A44C3" w14:textId="77777777" w:rsidR="00226908" w:rsidRDefault="00226908">
      <w:pPr>
        <w:spacing w:line="360" w:lineRule="auto"/>
        <w:jc w:val="both"/>
        <w:rPr>
          <w:rFonts w:ascii="Arial" w:hAnsi="Arial" w:cs="Arial"/>
        </w:rPr>
      </w:pPr>
    </w:p>
    <w:p w14:paraId="7DB7AA4E" w14:textId="5B3DBD85" w:rsidR="00226908" w:rsidRPr="002F3963" w:rsidRDefault="00226908" w:rsidP="00226908">
      <w:pPr>
        <w:jc w:val="both"/>
      </w:pPr>
      <w:bookmarkStart w:id="2" w:name="_Hlk112322283"/>
      <w:r w:rsidRPr="002F3963">
        <w:rPr>
          <w:rFonts w:ascii="Arial" w:hAnsi="Arial" w:cs="Arial"/>
          <w:b/>
          <w:bCs/>
        </w:rPr>
        <w:lastRenderedPageBreak/>
        <w:t xml:space="preserve">S2. p62 </w:t>
      </w:r>
      <w:r w:rsidR="00C04898" w:rsidRPr="002F3963">
        <w:rPr>
          <w:rFonts w:ascii="Arial" w:hAnsi="Arial" w:cs="Arial"/>
          <w:b/>
          <w:bCs/>
        </w:rPr>
        <w:t>binds</w:t>
      </w:r>
      <w:r w:rsidRPr="002F3963">
        <w:rPr>
          <w:rFonts w:ascii="Arial" w:hAnsi="Arial" w:cs="Arial"/>
          <w:b/>
          <w:bCs/>
        </w:rPr>
        <w:t xml:space="preserve"> </w:t>
      </w:r>
      <w:r w:rsidR="00ED3B37" w:rsidRPr="002F3963">
        <w:rPr>
          <w:rFonts w:ascii="Arial" w:hAnsi="Arial" w:cs="Arial"/>
          <w:b/>
          <w:bCs/>
        </w:rPr>
        <w:t xml:space="preserve">to the </w:t>
      </w:r>
      <w:r w:rsidR="00C04898" w:rsidRPr="002F3963">
        <w:rPr>
          <w:rFonts w:ascii="Arial" w:hAnsi="Arial" w:cs="Arial"/>
          <w:b/>
          <w:bCs/>
        </w:rPr>
        <w:t>NF-κB</w:t>
      </w:r>
      <w:r w:rsidR="00ED3B37" w:rsidRPr="002F3963">
        <w:rPr>
          <w:rFonts w:ascii="Arial" w:hAnsi="Arial" w:cs="Arial"/>
          <w:b/>
          <w:bCs/>
        </w:rPr>
        <w:t xml:space="preserve"> </w:t>
      </w:r>
      <w:r w:rsidRPr="002F3963">
        <w:rPr>
          <w:rFonts w:ascii="Arial" w:hAnsi="Arial" w:cs="Arial"/>
          <w:b/>
          <w:bCs/>
        </w:rPr>
        <w:t>p65</w:t>
      </w:r>
      <w:r w:rsidR="00C04898" w:rsidRPr="002F3963">
        <w:rPr>
          <w:rFonts w:ascii="Arial" w:hAnsi="Arial" w:cs="Arial"/>
          <w:b/>
          <w:bCs/>
        </w:rPr>
        <w:t xml:space="preserve"> subunit</w:t>
      </w:r>
      <w:r w:rsidR="00436CD3" w:rsidRPr="002F3963">
        <w:rPr>
          <w:rFonts w:ascii="Arial" w:hAnsi="Arial" w:cs="Arial"/>
          <w:b/>
          <w:bCs/>
        </w:rPr>
        <w:t>:</w:t>
      </w:r>
      <w:r w:rsidRPr="002F3963">
        <w:rPr>
          <w:rFonts w:ascii="Arial" w:hAnsi="Arial" w:cs="Arial"/>
          <w:b/>
          <w:bCs/>
        </w:rPr>
        <w:t xml:space="preserve"> </w:t>
      </w:r>
      <w:bookmarkEnd w:id="2"/>
      <w:r w:rsidR="00436CD3" w:rsidRPr="002F3963">
        <w:rPr>
          <w:rFonts w:ascii="Arial" w:hAnsi="Arial" w:cs="Arial"/>
          <w:b/>
          <w:bCs/>
        </w:rPr>
        <w:t>a</w:t>
      </w:r>
      <w:r w:rsidRPr="002F3963">
        <w:rPr>
          <w:rFonts w:ascii="Arial" w:hAnsi="Arial" w:cs="Arial"/>
        </w:rPr>
        <w:t>)</w:t>
      </w:r>
      <w:r w:rsidRPr="002F3963">
        <w:t xml:space="preserve"> </w:t>
      </w:r>
      <w:r w:rsidR="00436CD3" w:rsidRPr="002F3963">
        <w:rPr>
          <w:rFonts w:ascii="Arial" w:hAnsi="Arial" w:cs="Arial"/>
        </w:rPr>
        <w:t>HEK293T cells were transfected with the myc-p65 plasmids (WT or ΔLIR mutations) 24 hours before analysis. Cell lysates were added to beads with immobilized GST-fusion</w:t>
      </w:r>
      <w:r w:rsidR="00ED3B37" w:rsidRPr="002F3963">
        <w:rPr>
          <w:rFonts w:ascii="Arial" w:hAnsi="Arial" w:cs="Arial"/>
        </w:rPr>
        <w:t>s of</w:t>
      </w:r>
      <w:r w:rsidR="00436CD3" w:rsidRPr="002F3963">
        <w:rPr>
          <w:rFonts w:ascii="Arial" w:hAnsi="Arial" w:cs="Arial"/>
        </w:rPr>
        <w:t xml:space="preserve"> LC3-like modifiers</w:t>
      </w:r>
      <w:r w:rsidR="00436CD3" w:rsidRPr="002F3963">
        <w:t xml:space="preserve"> </w:t>
      </w:r>
      <w:r w:rsidR="00436CD3" w:rsidRPr="002F3963">
        <w:rPr>
          <w:rFonts w:ascii="Arial" w:hAnsi="Arial" w:cs="Arial"/>
        </w:rPr>
        <w:t>(GST-LC3A, GST-LC3B, GST-LC3C, GST-GABARAP, GST-GABARAPL1, GST-GABARAPL2),</w:t>
      </w:r>
      <w:r w:rsidR="00436CD3" w:rsidRPr="002F3963">
        <w:t xml:space="preserve"> </w:t>
      </w:r>
      <w:r w:rsidR="00436CD3" w:rsidRPr="002F3963">
        <w:rPr>
          <w:rFonts w:ascii="Arial" w:hAnsi="Arial" w:cs="Arial"/>
        </w:rPr>
        <w:t>followed by WB using an antibody against myc- tag. Ponceau stain gels (bottom) represent the amount of GST beads constructs used for the GST-pulldown assays. All data are representative of n≥3 independent experiments.</w:t>
      </w:r>
      <w:r w:rsidR="00436CD3" w:rsidRPr="002F3963">
        <w:t xml:space="preserve"> </w:t>
      </w:r>
      <w:r w:rsidR="00436CD3" w:rsidRPr="002F3963">
        <w:rPr>
          <w:rFonts w:ascii="Arial" w:hAnsi="Arial" w:cs="Arial"/>
          <w:b/>
          <w:bCs/>
        </w:rPr>
        <w:t>b</w:t>
      </w:r>
      <w:r w:rsidR="00436CD3" w:rsidRPr="002F3963">
        <w:rPr>
          <w:rFonts w:ascii="Arial" w:hAnsi="Arial" w:cs="Arial"/>
        </w:rPr>
        <w:t xml:space="preserve">) </w:t>
      </w:r>
      <w:r w:rsidRPr="002F3963">
        <w:rPr>
          <w:rFonts w:ascii="Arial" w:hAnsi="Arial" w:cs="Arial"/>
        </w:rPr>
        <w:t>Immunofluorescence staining for p62 (red) and p65 (green) using A549 cells in untreated, TNFα stimulation or irradiation (IR 20</w:t>
      </w:r>
      <w:r w:rsidR="00ED3B37" w:rsidRPr="002F3963">
        <w:rPr>
          <w:rFonts w:ascii="Arial" w:hAnsi="Arial" w:cs="Arial"/>
        </w:rPr>
        <w:t xml:space="preserve"> </w:t>
      </w:r>
      <w:r w:rsidRPr="002F3963">
        <w:rPr>
          <w:rFonts w:ascii="Arial" w:hAnsi="Arial" w:cs="Arial"/>
        </w:rPr>
        <w:t>Gy) conditions. Nuclei were stained with DAPI. Images are representative fluorescence confocal microscopic photographs</w:t>
      </w:r>
      <w:r w:rsidR="00436CD3" w:rsidRPr="002F3963">
        <w:rPr>
          <w:rFonts w:ascii="Arial" w:hAnsi="Arial" w:cs="Arial"/>
        </w:rPr>
        <w:t xml:space="preserve"> of n=3 independent experiments</w:t>
      </w:r>
      <w:r w:rsidRPr="002F3963">
        <w:rPr>
          <w:rFonts w:ascii="Arial" w:hAnsi="Arial" w:cs="Arial"/>
        </w:rPr>
        <w:t xml:space="preserve"> (scale bars 10 μm). </w:t>
      </w:r>
      <w:r w:rsidR="00436CD3" w:rsidRPr="002F3963">
        <w:rPr>
          <w:rFonts w:ascii="Arial" w:hAnsi="Arial" w:cs="Arial"/>
          <w:b/>
        </w:rPr>
        <w:t>c</w:t>
      </w:r>
      <w:r w:rsidRPr="002F3963">
        <w:rPr>
          <w:rFonts w:ascii="Arial" w:hAnsi="Arial" w:cs="Arial"/>
        </w:rPr>
        <w:t>)</w:t>
      </w:r>
      <w:r w:rsidRPr="002F3963">
        <w:t xml:space="preserve"> </w:t>
      </w:r>
      <w:r w:rsidRPr="002F3963">
        <w:rPr>
          <w:rFonts w:ascii="Arial" w:hAnsi="Arial" w:cs="Arial"/>
        </w:rPr>
        <w:t>HEK293T cell extracts were harvested at 0 or 90 minutes after TNFα treatment followed by immunoprecipitation (IP) with anti-p65 antibody and WB analysis with the antibodies indicated.</w:t>
      </w:r>
      <w:r w:rsidR="005772BB" w:rsidRPr="002F3963">
        <w:rPr>
          <w:rFonts w:ascii="Arial" w:hAnsi="Arial" w:cs="Arial"/>
        </w:rPr>
        <w:t xml:space="preserve"> IκBα antibody was used as control for NF-κB activation.</w:t>
      </w:r>
      <w:r w:rsidRPr="002F3963">
        <w:rPr>
          <w:rFonts w:ascii="Arial" w:hAnsi="Arial" w:cs="Arial"/>
        </w:rPr>
        <w:t xml:space="preserve"> IgG was used as IP control.</w:t>
      </w:r>
      <w:r w:rsidR="005772BB" w:rsidRPr="002F3963">
        <w:rPr>
          <w:rFonts w:ascii="Arial" w:hAnsi="Arial" w:cs="Arial"/>
          <w:b/>
          <w:bCs/>
        </w:rPr>
        <w:t>d</w:t>
      </w:r>
      <w:r w:rsidR="005772BB" w:rsidRPr="002F3963">
        <w:rPr>
          <w:rFonts w:ascii="Arial" w:hAnsi="Arial" w:cs="Arial"/>
        </w:rPr>
        <w:t>)</w:t>
      </w:r>
      <w:r w:rsidR="005772BB" w:rsidRPr="002F3963">
        <w:t xml:space="preserve"> </w:t>
      </w:r>
      <w:r w:rsidR="005772BB" w:rsidRPr="002F3963">
        <w:rPr>
          <w:rFonts w:ascii="Arial" w:hAnsi="Arial" w:cs="Arial"/>
        </w:rPr>
        <w:t xml:space="preserve">Overlap coefficient for the colocalization of PLA signals (p65:p62) with GFP-LC3 from </w:t>
      </w:r>
      <w:r w:rsidR="00F019B7" w:rsidRPr="002F3963">
        <w:rPr>
          <w:rFonts w:ascii="Arial" w:hAnsi="Arial" w:cs="Arial"/>
        </w:rPr>
        <w:t>Fig. 2</w:t>
      </w:r>
      <w:r w:rsidR="005772BB" w:rsidRPr="002F3963">
        <w:rPr>
          <w:rFonts w:ascii="Arial" w:hAnsi="Arial" w:cs="Arial"/>
        </w:rPr>
        <w:t>e quantified using JACoP plugin of ImageJ. Data are means ± SEM of three independent experiments (n</w:t>
      </w:r>
      <w:r w:rsidR="002C6FCE" w:rsidRPr="002F3963">
        <w:rPr>
          <w:rFonts w:ascii="Arial" w:hAnsi="Arial" w:cs="Arial"/>
        </w:rPr>
        <w:t>&gt;</w:t>
      </w:r>
      <w:r w:rsidR="005772BB" w:rsidRPr="002F3963">
        <w:rPr>
          <w:rFonts w:ascii="Arial" w:hAnsi="Arial" w:cs="Arial"/>
        </w:rPr>
        <w:t>5 cells for each condition). Statistical analys</w:t>
      </w:r>
      <w:r w:rsidR="00B76ED1" w:rsidRPr="002F3963">
        <w:rPr>
          <w:rFonts w:ascii="Arial" w:hAnsi="Arial" w:cs="Arial"/>
        </w:rPr>
        <w:t>i</w:t>
      </w:r>
      <w:r w:rsidR="005772BB" w:rsidRPr="002F3963">
        <w:rPr>
          <w:rFonts w:ascii="Arial" w:hAnsi="Arial" w:cs="Arial"/>
        </w:rPr>
        <w:t>s w</w:t>
      </w:r>
      <w:r w:rsidR="00B76ED1" w:rsidRPr="002F3963">
        <w:rPr>
          <w:rFonts w:ascii="Arial" w:hAnsi="Arial" w:cs="Arial"/>
        </w:rPr>
        <w:t>as</w:t>
      </w:r>
      <w:r w:rsidR="005772BB" w:rsidRPr="002F3963">
        <w:rPr>
          <w:rFonts w:ascii="Arial" w:hAnsi="Arial" w:cs="Arial"/>
        </w:rPr>
        <w:t xml:space="preserve"> performed by o</w:t>
      </w:r>
      <w:r w:rsidR="00F019B7" w:rsidRPr="002F3963">
        <w:rPr>
          <w:rFonts w:ascii="Arial" w:hAnsi="Arial" w:cs="Arial"/>
        </w:rPr>
        <w:t>ne</w:t>
      </w:r>
      <w:r w:rsidR="005772BB" w:rsidRPr="002F3963">
        <w:rPr>
          <w:rFonts w:ascii="Arial" w:hAnsi="Arial" w:cs="Arial"/>
        </w:rPr>
        <w:t xml:space="preserve">-way ANOVA followed by Bonferroni’s multiple comparison test (*p&lt;0.05; </w:t>
      </w:r>
      <w:r w:rsidR="00F019B7" w:rsidRPr="002F3963">
        <w:rPr>
          <w:rFonts w:ascii="Arial" w:hAnsi="Arial" w:cs="Arial"/>
        </w:rPr>
        <w:t>**</w:t>
      </w:r>
      <w:r w:rsidR="005772BB" w:rsidRPr="002F3963">
        <w:rPr>
          <w:rFonts w:ascii="Arial" w:hAnsi="Arial" w:cs="Arial"/>
        </w:rPr>
        <w:t>**p &lt; 0.</w:t>
      </w:r>
      <w:r w:rsidR="00F019B7" w:rsidRPr="002F3963">
        <w:rPr>
          <w:rFonts w:ascii="Arial" w:hAnsi="Arial" w:cs="Arial"/>
        </w:rPr>
        <w:t>00</w:t>
      </w:r>
      <w:r w:rsidR="005772BB" w:rsidRPr="002F3963">
        <w:rPr>
          <w:rFonts w:ascii="Arial" w:hAnsi="Arial" w:cs="Arial"/>
        </w:rPr>
        <w:t>01) using GraphPad Prism 8.</w:t>
      </w:r>
    </w:p>
    <w:p w14:paraId="5DD25270" w14:textId="16A10D1F" w:rsidR="002A58A4" w:rsidRPr="00DF2AE8" w:rsidRDefault="00226908" w:rsidP="00DF2AE8">
      <w:pPr>
        <w:jc w:val="both"/>
        <w:rPr>
          <w:rFonts w:ascii="Arial" w:hAnsi="Arial" w:cs="Arial"/>
        </w:rPr>
      </w:pPr>
      <w:r>
        <w:rPr>
          <w:rFonts w:ascii="Arial" w:hAnsi="Arial" w:cs="Arial"/>
        </w:rPr>
        <w:br w:type="page"/>
      </w:r>
    </w:p>
    <w:p w14:paraId="78A38224" w14:textId="508B0F8C" w:rsidR="005C3DB8" w:rsidRDefault="00A33637" w:rsidP="005C3DB8">
      <w:pPr>
        <w:rPr>
          <w:rFonts w:ascii="Arial" w:hAnsi="Arial" w:cs="Arial"/>
          <w:b/>
          <w:bCs/>
          <w:sz w:val="32"/>
          <w:szCs w:val="32"/>
        </w:rPr>
      </w:pPr>
      <w:r>
        <w:rPr>
          <w:rFonts w:ascii="Arial" w:hAnsi="Arial" w:cs="Arial"/>
          <w:b/>
          <w:bCs/>
          <w:noProof/>
          <w:sz w:val="32"/>
          <w:szCs w:val="32"/>
          <w:lang w:val="de-DE" w:eastAsia="de-DE"/>
        </w:rPr>
        <w:lastRenderedPageBreak/>
        <w:drawing>
          <wp:inline distT="0" distB="0" distL="0" distR="0" wp14:anchorId="01E048FA" wp14:editId="4C2CE48C">
            <wp:extent cx="4776216" cy="5202936"/>
            <wp:effectExtent l="0" t="0" r="571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76216" cy="5202936"/>
                    </a:xfrm>
                    <a:prstGeom prst="rect">
                      <a:avLst/>
                    </a:prstGeom>
                  </pic:spPr>
                </pic:pic>
              </a:graphicData>
            </a:graphic>
          </wp:inline>
        </w:drawing>
      </w:r>
    </w:p>
    <w:p w14:paraId="0098E739" w14:textId="20349890" w:rsidR="005772BB" w:rsidRPr="002C6FCE" w:rsidRDefault="005C3DB8" w:rsidP="005C3DB8">
      <w:pPr>
        <w:jc w:val="both"/>
        <w:rPr>
          <w:rFonts w:ascii="Arial" w:hAnsi="Arial" w:cs="Arial"/>
          <w:b/>
          <w:bCs/>
        </w:rPr>
      </w:pPr>
      <w:r w:rsidRPr="00155F62">
        <w:rPr>
          <w:rFonts w:ascii="Arial" w:hAnsi="Arial" w:cs="Arial"/>
          <w:b/>
          <w:bCs/>
        </w:rPr>
        <w:t>S3</w:t>
      </w:r>
      <w:r>
        <w:rPr>
          <w:rFonts w:ascii="Arial" w:hAnsi="Arial" w:cs="Arial"/>
          <w:b/>
          <w:bCs/>
        </w:rPr>
        <w:t>.</w:t>
      </w:r>
      <w:r w:rsidRPr="00155F62">
        <w:rPr>
          <w:rFonts w:ascii="Arial" w:hAnsi="Arial" w:cs="Arial"/>
          <w:b/>
          <w:bCs/>
        </w:rPr>
        <w:t xml:space="preserve"> </w:t>
      </w:r>
      <w:r w:rsidRPr="00B25E7B">
        <w:rPr>
          <w:rFonts w:ascii="Arial" w:hAnsi="Arial" w:cs="Arial"/>
          <w:b/>
          <w:bCs/>
        </w:rPr>
        <w:t>p62 depletion increases early stress-induced NF-κB activation</w:t>
      </w:r>
      <w:r w:rsidR="002C6FCE">
        <w:rPr>
          <w:rFonts w:ascii="Arial" w:hAnsi="Arial" w:cs="Arial"/>
          <w:b/>
          <w:bCs/>
        </w:rPr>
        <w:t>:</w:t>
      </w:r>
      <w:r w:rsidRPr="00B25E7B">
        <w:rPr>
          <w:rFonts w:ascii="Arial" w:hAnsi="Arial" w:cs="Arial"/>
          <w:b/>
          <w:bCs/>
        </w:rPr>
        <w:t xml:space="preserve"> </w:t>
      </w:r>
      <w:r w:rsidR="002C6FCE">
        <w:rPr>
          <w:rFonts w:ascii="Arial" w:hAnsi="Arial" w:cs="Arial"/>
          <w:b/>
          <w:bCs/>
        </w:rPr>
        <w:t>a</w:t>
      </w:r>
      <w:r w:rsidRPr="00B25E7B">
        <w:rPr>
          <w:rFonts w:ascii="Arial" w:hAnsi="Arial" w:cs="Arial"/>
        </w:rPr>
        <w:t>)</w:t>
      </w:r>
      <w:r>
        <w:t xml:space="preserve"> </w:t>
      </w:r>
      <w:r w:rsidRPr="00B25E7B">
        <w:rPr>
          <w:rFonts w:ascii="Arial" w:hAnsi="Arial" w:cs="Arial"/>
        </w:rPr>
        <w:t xml:space="preserve">RT-qPCR analysis of </w:t>
      </w:r>
      <w:r w:rsidRPr="00B25E7B">
        <w:rPr>
          <w:rFonts w:ascii="Arial" w:hAnsi="Arial" w:cs="Arial"/>
          <w:i/>
          <w:iCs/>
        </w:rPr>
        <w:t>p62/SQSTM1</w:t>
      </w:r>
      <w:r w:rsidRPr="00B25E7B">
        <w:rPr>
          <w:rFonts w:ascii="Arial" w:hAnsi="Arial" w:cs="Arial"/>
        </w:rPr>
        <w:t xml:space="preserve"> expression in HEK293 cells after 5 hours of treatment with TNFα (10 ng) or irradiation</w:t>
      </w:r>
      <w:r>
        <w:rPr>
          <w:rFonts w:ascii="Arial" w:hAnsi="Arial" w:cs="Arial"/>
        </w:rPr>
        <w:t xml:space="preserve"> </w:t>
      </w:r>
      <w:r w:rsidRPr="00B25E7B">
        <w:rPr>
          <w:rFonts w:ascii="Arial" w:hAnsi="Arial" w:cs="Arial"/>
        </w:rPr>
        <w:t>(20 Gy). Results are normalized to the unstimulated (UT) control. Data are means ± SEM of three or more independent</w:t>
      </w:r>
      <w:r>
        <w:rPr>
          <w:rFonts w:ascii="Arial" w:hAnsi="Arial" w:cs="Arial"/>
        </w:rPr>
        <w:t xml:space="preserve"> </w:t>
      </w:r>
      <w:r w:rsidRPr="00B25E7B">
        <w:rPr>
          <w:rFonts w:ascii="Arial" w:hAnsi="Arial" w:cs="Arial"/>
        </w:rPr>
        <w:t>experiments. Statistical analys</w:t>
      </w:r>
      <w:r w:rsidR="002C6FCE">
        <w:rPr>
          <w:rFonts w:ascii="Arial" w:hAnsi="Arial" w:cs="Arial"/>
        </w:rPr>
        <w:t>i</w:t>
      </w:r>
      <w:r w:rsidRPr="00B25E7B">
        <w:rPr>
          <w:rFonts w:ascii="Arial" w:hAnsi="Arial" w:cs="Arial"/>
        </w:rPr>
        <w:t>s w</w:t>
      </w:r>
      <w:r w:rsidR="002C6FCE">
        <w:rPr>
          <w:rFonts w:ascii="Arial" w:hAnsi="Arial" w:cs="Arial"/>
        </w:rPr>
        <w:t>as</w:t>
      </w:r>
      <w:r w:rsidRPr="00B25E7B">
        <w:rPr>
          <w:rFonts w:ascii="Arial" w:hAnsi="Arial" w:cs="Arial"/>
        </w:rPr>
        <w:t xml:space="preserve"> performed by one-way ANOVA followed by Bonferroni’s multiple comparison test</w:t>
      </w:r>
      <w:r>
        <w:rPr>
          <w:rFonts w:ascii="Arial" w:hAnsi="Arial" w:cs="Arial"/>
        </w:rPr>
        <w:t xml:space="preserve"> </w:t>
      </w:r>
      <w:r w:rsidRPr="00B25E7B">
        <w:rPr>
          <w:rFonts w:ascii="Arial" w:hAnsi="Arial" w:cs="Arial"/>
        </w:rPr>
        <w:t>(n.s.= not significant) using GraphPad Prism 8.</w:t>
      </w:r>
      <w:r w:rsidRPr="0041721A">
        <w:t xml:space="preserve"> </w:t>
      </w:r>
      <w:r w:rsidR="002C6FCE">
        <w:rPr>
          <w:rFonts w:ascii="Arial" w:hAnsi="Arial" w:cs="Arial"/>
          <w:b/>
          <w:bCs/>
        </w:rPr>
        <w:t>b</w:t>
      </w:r>
      <w:r w:rsidRPr="002063C3">
        <w:rPr>
          <w:rFonts w:ascii="Arial" w:hAnsi="Arial" w:cs="Arial"/>
        </w:rPr>
        <w:t>)</w:t>
      </w:r>
      <w:r>
        <w:rPr>
          <w:rFonts w:ascii="Arial" w:hAnsi="Arial" w:cs="Arial"/>
        </w:rPr>
        <w:t xml:space="preserve"> </w:t>
      </w:r>
      <w:r w:rsidR="002C6FCE" w:rsidRPr="002C6FCE">
        <w:rPr>
          <w:rFonts w:ascii="Arial" w:hAnsi="Arial" w:cs="Arial"/>
          <w:i/>
          <w:iCs/>
        </w:rPr>
        <w:t>p62/SQSTM1</w:t>
      </w:r>
      <w:r w:rsidR="002C6FCE" w:rsidRPr="005772BB">
        <w:rPr>
          <w:rFonts w:ascii="Arial" w:hAnsi="Arial" w:cs="Arial"/>
        </w:rPr>
        <w:t xml:space="preserve"> mRNA expression in HEK293 cells 48 hours after transfection with control siRNA or a mixture of two siRNAs targeting </w:t>
      </w:r>
      <w:r w:rsidR="002C6FCE" w:rsidRPr="002C6FCE">
        <w:rPr>
          <w:rFonts w:ascii="Arial" w:hAnsi="Arial" w:cs="Arial"/>
          <w:i/>
          <w:iCs/>
        </w:rPr>
        <w:t>p62</w:t>
      </w:r>
      <w:r w:rsidR="002C6FCE" w:rsidRPr="005772BB">
        <w:rPr>
          <w:rFonts w:ascii="Arial" w:hAnsi="Arial" w:cs="Arial"/>
        </w:rPr>
        <w:t xml:space="preserve">. Results are normalized to the siRNA control. Data are means ± SEM of three independent experiments. Statistical analyses were performed by </w:t>
      </w:r>
      <w:r w:rsidR="002C6FCE" w:rsidRPr="002C6FCE">
        <w:rPr>
          <w:rFonts w:ascii="Arial" w:hAnsi="Arial" w:cs="Arial"/>
        </w:rPr>
        <w:t xml:space="preserve">unpaired t-test </w:t>
      </w:r>
      <w:r w:rsidR="002C6FCE" w:rsidRPr="005772BB">
        <w:rPr>
          <w:rFonts w:ascii="Arial" w:hAnsi="Arial" w:cs="Arial"/>
        </w:rPr>
        <w:t>(***p &lt; 0.001) using GraphPad Prism 8.</w:t>
      </w:r>
      <w:r w:rsidR="002C6FCE">
        <w:rPr>
          <w:rFonts w:ascii="Arial" w:hAnsi="Arial" w:cs="Arial"/>
        </w:rPr>
        <w:t xml:space="preserve"> </w:t>
      </w:r>
      <w:r w:rsidR="002C6FCE">
        <w:rPr>
          <w:rFonts w:ascii="Arial" w:hAnsi="Arial" w:cs="Arial"/>
          <w:b/>
          <w:bCs/>
        </w:rPr>
        <w:t>c</w:t>
      </w:r>
      <w:r w:rsidR="002C6FCE" w:rsidRPr="002C6FCE">
        <w:rPr>
          <w:rFonts w:ascii="Arial" w:hAnsi="Arial" w:cs="Arial"/>
        </w:rPr>
        <w:t>)</w:t>
      </w:r>
      <w:r w:rsidR="002C6FCE">
        <w:rPr>
          <w:rFonts w:ascii="Arial" w:hAnsi="Arial" w:cs="Arial"/>
        </w:rPr>
        <w:t xml:space="preserve"> </w:t>
      </w:r>
      <w:r w:rsidRPr="002063C3">
        <w:rPr>
          <w:rFonts w:ascii="Arial" w:hAnsi="Arial" w:cs="Arial"/>
          <w:i/>
          <w:iCs/>
        </w:rPr>
        <w:t>CCL20</w:t>
      </w:r>
      <w:r w:rsidRPr="0041721A">
        <w:rPr>
          <w:rFonts w:ascii="Arial" w:hAnsi="Arial" w:cs="Arial"/>
        </w:rPr>
        <w:t xml:space="preserve"> and </w:t>
      </w:r>
      <w:r w:rsidRPr="002063C3">
        <w:rPr>
          <w:rFonts w:ascii="Arial" w:hAnsi="Arial" w:cs="Arial"/>
          <w:i/>
          <w:iCs/>
        </w:rPr>
        <w:t>TNFα</w:t>
      </w:r>
      <w:r w:rsidRPr="0041721A">
        <w:rPr>
          <w:rFonts w:ascii="Arial" w:hAnsi="Arial" w:cs="Arial"/>
        </w:rPr>
        <w:t xml:space="preserve"> mRNA expression was detected by RT-qPCR in HEK293 cells expressing control or</w:t>
      </w:r>
      <w:r w:rsidR="002C6FCE">
        <w:rPr>
          <w:rFonts w:ascii="Arial" w:hAnsi="Arial" w:cs="Arial"/>
        </w:rPr>
        <w:t xml:space="preserve"> a mixture of</w:t>
      </w:r>
      <w:r w:rsidRPr="0041721A">
        <w:rPr>
          <w:rFonts w:ascii="Arial" w:hAnsi="Arial" w:cs="Arial"/>
        </w:rPr>
        <w:t xml:space="preserve"> p62</w:t>
      </w:r>
      <w:r w:rsidR="00EA3A1E">
        <w:rPr>
          <w:rFonts w:ascii="Arial" w:hAnsi="Arial" w:cs="Arial"/>
        </w:rPr>
        <w:t>/SQSTM1</w:t>
      </w:r>
      <w:r w:rsidRPr="0041721A">
        <w:rPr>
          <w:rFonts w:ascii="Arial" w:hAnsi="Arial" w:cs="Arial"/>
        </w:rPr>
        <w:t>-specific siRNAs and analyzed 5</w:t>
      </w:r>
      <w:r>
        <w:rPr>
          <w:rFonts w:ascii="Arial" w:hAnsi="Arial" w:cs="Arial"/>
        </w:rPr>
        <w:t xml:space="preserve"> </w:t>
      </w:r>
      <w:r w:rsidRPr="0041721A">
        <w:rPr>
          <w:rFonts w:ascii="Arial" w:hAnsi="Arial" w:cs="Arial"/>
        </w:rPr>
        <w:t>hours after TNFα (10 ng) treatment or irradiation (IR 20 Gy). Results are</w:t>
      </w:r>
      <w:r>
        <w:rPr>
          <w:rFonts w:ascii="Arial" w:hAnsi="Arial" w:cs="Arial"/>
        </w:rPr>
        <w:t xml:space="preserve"> </w:t>
      </w:r>
      <w:r w:rsidRPr="0041721A">
        <w:rPr>
          <w:rFonts w:ascii="Arial" w:hAnsi="Arial" w:cs="Arial"/>
        </w:rPr>
        <w:t>normalized to the unstimulated controls, respectively. Data are means ± SEM of three or more independent experiments.</w:t>
      </w:r>
      <w:r>
        <w:rPr>
          <w:rFonts w:ascii="Arial" w:hAnsi="Arial" w:cs="Arial"/>
        </w:rPr>
        <w:t xml:space="preserve"> </w:t>
      </w:r>
      <w:r w:rsidRPr="0041721A">
        <w:rPr>
          <w:rFonts w:ascii="Arial" w:hAnsi="Arial" w:cs="Arial"/>
        </w:rPr>
        <w:t xml:space="preserve">Statistical analyses were performed by </w:t>
      </w:r>
      <w:r>
        <w:rPr>
          <w:rFonts w:ascii="Arial" w:hAnsi="Arial" w:cs="Arial"/>
        </w:rPr>
        <w:t>t</w:t>
      </w:r>
      <w:r w:rsidRPr="0041721A">
        <w:rPr>
          <w:rFonts w:ascii="Arial" w:hAnsi="Arial" w:cs="Arial"/>
        </w:rPr>
        <w:t xml:space="preserve">wo-way </w:t>
      </w:r>
      <w:r w:rsidR="00EA3A1E" w:rsidRPr="0041721A">
        <w:rPr>
          <w:rFonts w:ascii="Arial" w:hAnsi="Arial" w:cs="Arial"/>
        </w:rPr>
        <w:t>A</w:t>
      </w:r>
      <w:r w:rsidR="00EA3A1E">
        <w:rPr>
          <w:rFonts w:ascii="Arial" w:hAnsi="Arial" w:cs="Arial"/>
        </w:rPr>
        <w:t>NOVA</w:t>
      </w:r>
      <w:r w:rsidR="00EA3A1E" w:rsidRPr="0041721A">
        <w:rPr>
          <w:rFonts w:ascii="Arial" w:hAnsi="Arial" w:cs="Arial"/>
        </w:rPr>
        <w:t xml:space="preserve"> </w:t>
      </w:r>
      <w:r w:rsidRPr="0041721A">
        <w:rPr>
          <w:rFonts w:ascii="Arial" w:hAnsi="Arial" w:cs="Arial"/>
        </w:rPr>
        <w:t>followed by Bonferroni’s multiple comparison test (****p&lt;0.0001) using GraphPad Prism 8.</w:t>
      </w:r>
      <w:r w:rsidR="005772BB" w:rsidRPr="005772BB">
        <w:t xml:space="preserve"> </w:t>
      </w:r>
    </w:p>
    <w:p w14:paraId="1AE33DFC" w14:textId="77777777" w:rsidR="005C3DB8" w:rsidRDefault="005C3DB8" w:rsidP="005C3DB8">
      <w:pPr>
        <w:rPr>
          <w:rFonts w:ascii="Arial" w:hAnsi="Arial" w:cs="Arial"/>
          <w:b/>
          <w:bCs/>
          <w:sz w:val="32"/>
          <w:szCs w:val="32"/>
        </w:rPr>
      </w:pPr>
    </w:p>
    <w:p w14:paraId="5637E50B" w14:textId="77777777" w:rsidR="00226908" w:rsidRDefault="00226908" w:rsidP="002176C9">
      <w:pPr>
        <w:jc w:val="both"/>
        <w:rPr>
          <w:rFonts w:ascii="Arial" w:hAnsi="Arial" w:cs="Arial"/>
        </w:rPr>
      </w:pPr>
    </w:p>
    <w:p w14:paraId="63C898F3" w14:textId="77777777" w:rsidR="002176C9" w:rsidRPr="002176C9" w:rsidRDefault="002176C9">
      <w:pPr>
        <w:rPr>
          <w:rFonts w:ascii="Arial" w:hAnsi="Arial" w:cs="Arial"/>
          <w:b/>
          <w:bCs/>
          <w:sz w:val="24"/>
          <w:szCs w:val="24"/>
        </w:rPr>
      </w:pPr>
    </w:p>
    <w:sectPr w:rsidR="002176C9" w:rsidRPr="002176C9" w:rsidSect="00E52D1E">
      <w:pgSz w:w="11906" w:h="16838"/>
      <w:pgMar w:top="1417" w:right="1134" w:bottom="1134" w:left="1418"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6C9"/>
    <w:rsid w:val="000F4AFE"/>
    <w:rsid w:val="002176C9"/>
    <w:rsid w:val="00222EEB"/>
    <w:rsid w:val="00226908"/>
    <w:rsid w:val="002A58A4"/>
    <w:rsid w:val="002C6FCE"/>
    <w:rsid w:val="002F3963"/>
    <w:rsid w:val="003B7B61"/>
    <w:rsid w:val="003D0EAD"/>
    <w:rsid w:val="003E2CC8"/>
    <w:rsid w:val="00436CD3"/>
    <w:rsid w:val="00492E20"/>
    <w:rsid w:val="005772BB"/>
    <w:rsid w:val="005C3DB8"/>
    <w:rsid w:val="00600A17"/>
    <w:rsid w:val="007121BB"/>
    <w:rsid w:val="009940E0"/>
    <w:rsid w:val="00A33637"/>
    <w:rsid w:val="00B368EF"/>
    <w:rsid w:val="00B76ED1"/>
    <w:rsid w:val="00BC24AC"/>
    <w:rsid w:val="00C04898"/>
    <w:rsid w:val="00CA3F18"/>
    <w:rsid w:val="00DF2AE8"/>
    <w:rsid w:val="00E52D1E"/>
    <w:rsid w:val="00EA3A1E"/>
    <w:rsid w:val="00ED3B37"/>
    <w:rsid w:val="00F019B7"/>
    <w:rsid w:val="00F45B2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23DCB"/>
  <w15:chartTrackingRefBased/>
  <w15:docId w15:val="{AF41503C-E1B6-4BDB-9EAE-828C4CF85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176C9"/>
    <w:pPr>
      <w:spacing w:line="259" w:lineRule="auto"/>
      <w:jc w:val="left"/>
    </w:pPr>
    <w:rPr>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basedOn w:val="Carpredefinitoparagrafo"/>
    <w:uiPriority w:val="99"/>
    <w:semiHidden/>
    <w:unhideWhenUsed/>
    <w:rsid w:val="002176C9"/>
    <w:rPr>
      <w:sz w:val="16"/>
      <w:szCs w:val="16"/>
    </w:rPr>
  </w:style>
  <w:style w:type="paragraph" w:styleId="Testocommento">
    <w:name w:val="annotation text"/>
    <w:basedOn w:val="Normale"/>
    <w:link w:val="TestocommentoCarattere"/>
    <w:uiPriority w:val="99"/>
    <w:semiHidden/>
    <w:unhideWhenUsed/>
    <w:rsid w:val="002176C9"/>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2176C9"/>
    <w:rPr>
      <w:sz w:val="20"/>
      <w:szCs w:val="20"/>
      <w:lang w:val="en-US"/>
    </w:rPr>
  </w:style>
  <w:style w:type="paragraph" w:styleId="Soggettocommento">
    <w:name w:val="annotation subject"/>
    <w:basedOn w:val="Testocommento"/>
    <w:next w:val="Testocommento"/>
    <w:link w:val="SoggettocommentoCarattere"/>
    <w:uiPriority w:val="99"/>
    <w:semiHidden/>
    <w:unhideWhenUsed/>
    <w:rsid w:val="00EA3A1E"/>
    <w:rPr>
      <w:b/>
      <w:bCs/>
    </w:rPr>
  </w:style>
  <w:style w:type="character" w:customStyle="1" w:styleId="SoggettocommentoCarattere">
    <w:name w:val="Soggetto commento Carattere"/>
    <w:basedOn w:val="TestocommentoCarattere"/>
    <w:link w:val="Soggettocommento"/>
    <w:uiPriority w:val="99"/>
    <w:semiHidden/>
    <w:rsid w:val="00EA3A1E"/>
    <w:rPr>
      <w:b/>
      <w:bCs/>
      <w:sz w:val="20"/>
      <w:szCs w:val="20"/>
      <w:lang w:val="en-US"/>
    </w:rPr>
  </w:style>
  <w:style w:type="paragraph" w:styleId="Testofumetto">
    <w:name w:val="Balloon Text"/>
    <w:basedOn w:val="Normale"/>
    <w:link w:val="TestofumettoCarattere"/>
    <w:uiPriority w:val="99"/>
    <w:semiHidden/>
    <w:unhideWhenUsed/>
    <w:rsid w:val="00EA3A1E"/>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A3A1E"/>
    <w:rPr>
      <w:rFonts w:ascii="Segoe UI" w:hAnsi="Segoe UI" w:cs="Segoe UI"/>
      <w:sz w:val="18"/>
      <w:szCs w:val="18"/>
      <w:lang w:val="en-US"/>
    </w:rPr>
  </w:style>
  <w:style w:type="paragraph" w:styleId="Revisione">
    <w:name w:val="Revision"/>
    <w:hidden/>
    <w:uiPriority w:val="99"/>
    <w:semiHidden/>
    <w:rsid w:val="009940E0"/>
    <w:pPr>
      <w:spacing w:after="0" w:line="240" w:lineRule="auto"/>
      <w:jc w:val="left"/>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703</Words>
  <Characters>4011</Characters>
  <Application>Microsoft Office Word</Application>
  <DocSecurity>0</DocSecurity>
  <Lines>33</Lines>
  <Paragraphs>9</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Brischetto</dc:creator>
  <cp:keywords/>
  <dc:description/>
  <cp:lastModifiedBy>Cristina Brischetto</cp:lastModifiedBy>
  <cp:revision>4</cp:revision>
  <dcterms:created xsi:type="dcterms:W3CDTF">2022-10-31T12:19:00Z</dcterms:created>
  <dcterms:modified xsi:type="dcterms:W3CDTF">2022-11-02T12:11:00Z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2cd74e545e75fb60ba9c5b193794e39069d13b6f9d3b65f7a2a4838c377a528d</vt:lpwstr>
  </property>
</Properties>
</file>