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F3DD" w14:textId="5842EF81" w:rsidR="00F956B5" w:rsidRPr="006E5159" w:rsidRDefault="008F0691" w:rsidP="008F0691">
      <w:pPr>
        <w:spacing w:line="480" w:lineRule="auto"/>
        <w:rPr>
          <w:rFonts w:ascii="Times New Roman" w:hAnsi="Times New Roman" w:cs="Times New Roman"/>
          <w:lang w:val="en-GB"/>
        </w:rPr>
      </w:pPr>
      <w:r w:rsidRPr="006E5159">
        <w:rPr>
          <w:rFonts w:ascii="Times New Roman" w:hAnsi="Times New Roman" w:cs="Times New Roman"/>
          <w:lang w:val="en-GB"/>
        </w:rPr>
        <w:t>SUPPLEMENT</w:t>
      </w:r>
    </w:p>
    <w:bookmarkStart w:id="0" w:name="_MON_1717915910"/>
    <w:bookmarkEnd w:id="0"/>
    <w:p w14:paraId="1AEB03E1" w14:textId="4FA2D30C" w:rsidR="008F0691" w:rsidRPr="006E5159" w:rsidRDefault="006252A7">
      <w:pPr>
        <w:rPr>
          <w:lang w:val="en-GB"/>
        </w:rPr>
      </w:pPr>
      <w:r w:rsidRPr="00B30B35">
        <w:rPr>
          <w:noProof/>
          <w:lang w:val="en-GB"/>
        </w:rPr>
        <w:object w:dxaOrig="9353" w:dyaOrig="11648" w14:anchorId="5A136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pt;height:582.6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726907061" r:id="rId5">
            <o:FieldCodes>\s</o:FieldCodes>
          </o:OLEObject>
        </w:object>
      </w:r>
    </w:p>
    <w:p w14:paraId="1016BA06" w14:textId="77777777" w:rsidR="00E52821" w:rsidRPr="006E5159" w:rsidRDefault="00E52821" w:rsidP="008F0691">
      <w:pPr>
        <w:pStyle w:val="Beschriftung"/>
        <w:rPr>
          <w:lang w:val="en-GB"/>
        </w:rPr>
        <w:sectPr w:rsidR="00E52821" w:rsidRPr="006E5159" w:rsidSect="0024248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A01AFD1" w14:textId="3F13975F" w:rsidR="006E5159" w:rsidRPr="00202638" w:rsidRDefault="006E5159" w:rsidP="00202638">
      <w:pPr>
        <w:pStyle w:val="Beschriftung"/>
        <w:keepNext/>
        <w:spacing w:line="36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E550BA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9609A5" w:rsidRPr="00E550BA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GB"/>
        </w:rPr>
        <w:t>S</w:t>
      </w:r>
      <w:r w:rsidR="00EB497F" w:rsidRPr="00E550BA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GB"/>
        </w:rPr>
        <w:t>2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9609A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Annual percentage a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trophy rates for total brain, grey matter and white matter volumes calculated from </w:t>
      </w:r>
      <w:r w:rsidR="000661C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separate 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cross-sectional analysis (FSL-SIENAX) </w:t>
      </w:r>
      <w:r w:rsidR="000661C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at two timepoints </w:t>
      </w:r>
      <w:r w:rsidR="004D75E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compared between untreated patients and patients treated with interferon-beta during the first and the second years</w:t>
      </w:r>
      <w:r w:rsidR="00DE181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.</w:t>
      </w:r>
      <w:r w:rsidR="004D75EA"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16" w:space="0" w:color="979797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185"/>
        <w:gridCol w:w="1078"/>
        <w:gridCol w:w="1097"/>
        <w:gridCol w:w="1078"/>
        <w:gridCol w:w="1097"/>
        <w:gridCol w:w="1078"/>
        <w:gridCol w:w="1097"/>
        <w:gridCol w:w="1078"/>
        <w:gridCol w:w="1097"/>
        <w:gridCol w:w="1078"/>
        <w:gridCol w:w="1151"/>
        <w:gridCol w:w="1078"/>
        <w:gridCol w:w="1097"/>
      </w:tblGrid>
      <w:tr w:rsidR="00CD4F7A" w:rsidRPr="00202638" w14:paraId="00378BD8" w14:textId="77777777" w:rsidTr="00CD4F7A"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52EB3E89" w14:textId="77777777" w:rsidR="00F57F2B" w:rsidRPr="00202638" w:rsidRDefault="00F57F2B" w:rsidP="00F57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25CAFD1D" w14:textId="1688E523" w:rsidR="00F57F2B" w:rsidRPr="00202638" w:rsidRDefault="00F57F2B" w:rsidP="00F57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Total brain volume</w:t>
            </w:r>
          </w:p>
        </w:tc>
        <w:tc>
          <w:tcPr>
            <w:tcW w:w="0" w:type="auto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775D1839" w14:textId="134D2807" w:rsidR="00F57F2B" w:rsidRPr="00202638" w:rsidRDefault="00F57F2B" w:rsidP="00F57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Grey matter</w:t>
            </w:r>
          </w:p>
        </w:tc>
        <w:tc>
          <w:tcPr>
            <w:tcW w:w="0" w:type="auto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497748FA" w14:textId="77777777" w:rsidR="00F57F2B" w:rsidRPr="00202638" w:rsidRDefault="00F57F2B" w:rsidP="00F57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White matter</w:t>
            </w:r>
          </w:p>
        </w:tc>
      </w:tr>
      <w:tr w:rsidR="00CD4F7A" w:rsidRPr="00202638" w14:paraId="3A7B7BE6" w14:textId="77777777" w:rsidTr="00CD4F7A">
        <w:tc>
          <w:tcPr>
            <w:tcW w:w="0" w:type="auto"/>
            <w:vMerge w:val="restar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6DFC9BF5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0EF7F294" w14:textId="77777777" w:rsidR="00E52821" w:rsidRPr="00202638" w:rsidRDefault="00E52821" w:rsidP="00E52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BL to FU1</w:t>
            </w: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5921E145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FU1 to FU2</w:t>
            </w: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03CBF52D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BL to FU1</w:t>
            </w: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42898269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FU1 to FU2</w:t>
            </w: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80" w:type="nil"/>
              <w:right w:w="80" w:type="nil"/>
            </w:tcMar>
            <w:vAlign w:val="center"/>
          </w:tcPr>
          <w:p w14:paraId="305CBF6D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BL to FU1</w:t>
            </w: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FFFF"/>
            <w:tcMar>
              <w:top w:w="80" w:type="nil"/>
            </w:tcMar>
            <w:vAlign w:val="center"/>
          </w:tcPr>
          <w:p w14:paraId="712884CC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FU1 to FU2</w:t>
            </w:r>
          </w:p>
        </w:tc>
      </w:tr>
      <w:tr w:rsidR="009609A5" w:rsidRPr="00202638" w14:paraId="4CC41580" w14:textId="77777777" w:rsidTr="00CD4F7A">
        <w:tblPrEx>
          <w:tblBorders>
            <w:top w:val="none" w:sz="0" w:space="0" w:color="auto"/>
          </w:tblBorders>
        </w:tblPrEx>
        <w:tc>
          <w:tcPr>
            <w:tcW w:w="0" w:type="auto"/>
            <w:vMerge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2E4CEEB6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586E92E2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2505CEFB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6AE235B8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0333B913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724FD0A9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7B04DD87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04B377D0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74080C19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73C51B5B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6BB7710F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77794827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FFFF"/>
            <w:tcMar>
              <w:top w:w="100" w:type="nil"/>
              <w:left w:w="100" w:type="nil"/>
              <w:bottom w:w="120" w:type="nil"/>
              <w:right w:w="100" w:type="nil"/>
            </w:tcMar>
            <w:vAlign w:val="bottom"/>
          </w:tcPr>
          <w:p w14:paraId="02D1FC2E" w14:textId="77777777" w:rsidR="00E52821" w:rsidRPr="00202638" w:rsidRDefault="00E52821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Interferon</w:t>
            </w:r>
          </w:p>
        </w:tc>
      </w:tr>
      <w:tr w:rsidR="009609A5" w:rsidRPr="00202638" w14:paraId="5E10C59E" w14:textId="77777777" w:rsidTr="00CD4F7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9C9C9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1979B076" w14:textId="59EBF55D" w:rsidR="00F57F2B" w:rsidRPr="00202638" w:rsidRDefault="00F57F2B" w:rsidP="00F57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 xml:space="preserve">Atrophy rate </w:t>
            </w:r>
            <w:r w:rsidR="00E550BA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[%</w:t>
            </w:r>
            <w:r w:rsidR="009609A5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 xml:space="preserve"> / year</w:t>
            </w:r>
            <w:r w:rsidRPr="0020263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]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6C736AFE" w14:textId="36EACF6F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-0.31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(-0.93, 0.88)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22DC8118" w14:textId="69249AB5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-1.34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(-2.37, 0.00)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00514213" w14:textId="3C4FF33C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-0.48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(-1.31, 0.61)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486089E6" w14:textId="62332AB3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-0.12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(-1.24, 0.79)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A9722D5" w14:textId="5FF9F010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-0.16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(-1.27, 1.18)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53202B48" w14:textId="127B8A41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-1.40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(-2.92, 0.18)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14294432" w14:textId="28739D6E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-0.95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(-2.25, 0.56)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0E2A003E" w14:textId="766B592D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-0.21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(-1.47, 1.01)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C580856" w14:textId="0F4919D9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-0.30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(-0.87, 0.38)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5844C5D3" w14:textId="02714F1C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-0.90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(-1.92, -0.19)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61660FC9" w14:textId="4FF49E44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-0.10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(-1.20, 1.07)</w:t>
            </w: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23786D95" w14:textId="76688047" w:rsidR="00F57F2B" w:rsidRPr="00202638" w:rsidRDefault="00F57F2B" w:rsidP="00CD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0.15 </w:t>
            </w:r>
            <w:r w:rsidR="00CD4F7A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(-1.17, 1.16)</w:t>
            </w:r>
          </w:p>
        </w:tc>
      </w:tr>
      <w:tr w:rsidR="00FE45A5" w:rsidRPr="00202638" w14:paraId="5E81B024" w14:textId="77777777" w:rsidTr="00E95F7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9C9C9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C566020" w14:textId="0E23AF8C" w:rsidR="00FE45A5" w:rsidRPr="00202638" w:rsidRDefault="00FE45A5" w:rsidP="00F57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  <w:t>p-value</w:t>
            </w:r>
            <w:r w:rsidRPr="00FE45A5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16254BF2" w14:textId="462A8E27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2030D7C5" w14:textId="3C668A22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0.14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0052E91B" w14:textId="43F5D25C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0.0558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A90F719" w14:textId="3CA21735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0.25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29D92C4" w14:textId="18548443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0" w:type="auto"/>
            <w:gridSpan w:val="2"/>
            <w:tcBorders>
              <w:top w:val="single" w:sz="8" w:space="0" w:color="C9C9C9"/>
              <w:left w:val="none" w:sz="6" w:space="0" w:color="auto"/>
              <w:bottom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C09C970" w14:textId="4012BA4B" w:rsidR="00FE45A5" w:rsidRPr="00202638" w:rsidRDefault="00FE45A5" w:rsidP="0041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0.12</w:t>
            </w:r>
          </w:p>
        </w:tc>
      </w:tr>
      <w:tr w:rsidR="009609A5" w:rsidRPr="00202638" w14:paraId="7D980A9B" w14:textId="77777777" w:rsidTr="00CD4F7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9C9C9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68A9B30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E70715B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AB97FB4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39651FD1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7825F7A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5F95C141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0F23D739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6D045BCE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5B42CD38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2CC7C007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061E887D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5C66E2DF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C9C9C9"/>
              <w:left w:val="none" w:sz="6" w:space="0" w:color="auto"/>
              <w:bottom w:val="none" w:sz="6" w:space="0" w:color="auto"/>
            </w:tcBorders>
            <w:tcMar>
              <w:top w:w="100" w:type="nil"/>
              <w:left w:w="160" w:type="nil"/>
              <w:bottom w:w="160" w:type="nil"/>
              <w:right w:w="100" w:type="nil"/>
            </w:tcMar>
            <w:vAlign w:val="center"/>
          </w:tcPr>
          <w:p w14:paraId="721A7F71" w14:textId="77777777" w:rsidR="00E52821" w:rsidRPr="00202638" w:rsidRDefault="00E52821" w:rsidP="008D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</w:p>
        </w:tc>
      </w:tr>
      <w:tr w:rsidR="00E52821" w:rsidRPr="00FE45A5" w14:paraId="1DFA6B90" w14:textId="77777777" w:rsidTr="00CD4F7A">
        <w:tblPrEx>
          <w:tblBorders>
            <w:top w:val="none" w:sz="0" w:space="0" w:color="auto"/>
            <w:bottom w:val="single" w:sz="16" w:space="0" w:color="979797"/>
          </w:tblBorders>
        </w:tblPrEx>
        <w:tc>
          <w:tcPr>
            <w:tcW w:w="0" w:type="auto"/>
            <w:gridSpan w:val="13"/>
            <w:tcBorders>
              <w:top w:val="none" w:sz="6" w:space="0" w:color="auto"/>
              <w:bottom w:val="none" w:sz="6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368C9" w14:textId="77777777" w:rsidR="00E52821" w:rsidRDefault="00E52821" w:rsidP="008D7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Median (IQR) </w:t>
            </w:r>
            <w:r w:rsidR="00C14266"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br/>
            </w:r>
            <w:r w:rsidRPr="00202638"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>no therapy: N =42; Interferon: N = 79</w:t>
            </w:r>
          </w:p>
          <w:p w14:paraId="447A2C18" w14:textId="3EF85B94" w:rsidR="00FE45A5" w:rsidRPr="00202638" w:rsidRDefault="00FE45A5" w:rsidP="008D7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</w:pPr>
            <w:r w:rsidRPr="00FE45A5">
              <w:rPr>
                <w:rFonts w:ascii="Times New Roman" w:hAnsi="Times New Roman" w:cs="Times New Roman"/>
                <w:color w:val="262626"/>
                <w:sz w:val="18"/>
                <w:szCs w:val="18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GB"/>
              </w:rPr>
              <w:t xml:space="preserve"> comparison between “no therapy” and “interferon” groups by linear mixed-model analysis</w:t>
            </w:r>
          </w:p>
        </w:tc>
      </w:tr>
    </w:tbl>
    <w:p w14:paraId="2AFD3ACC" w14:textId="77777777" w:rsidR="00E52821" w:rsidRPr="006E5159" w:rsidRDefault="00E52821" w:rsidP="00E52821">
      <w:pPr>
        <w:rPr>
          <w:lang w:val="en-GB"/>
        </w:rPr>
      </w:pPr>
    </w:p>
    <w:p w14:paraId="5D7B27A5" w14:textId="77777777" w:rsidR="00202638" w:rsidRDefault="00E52821" w:rsidP="00202638">
      <w:pPr>
        <w:keepNext/>
        <w:ind w:right="-903"/>
      </w:pPr>
      <w:r w:rsidRPr="006E5159">
        <w:rPr>
          <w:noProof/>
          <w:lang w:eastAsia="de-DE"/>
        </w:rPr>
        <w:lastRenderedPageBreak/>
        <w:drawing>
          <wp:inline distT="0" distB="0" distL="0" distR="0" wp14:anchorId="548273AF" wp14:editId="52341779">
            <wp:extent cx="8649050" cy="5437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1524" cy="549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22B6" w14:textId="13A42778" w:rsidR="008F0691" w:rsidRPr="009E2968" w:rsidRDefault="00202638" w:rsidP="008F0691">
      <w:pPr>
        <w:pStyle w:val="Beschriftung"/>
        <w:rPr>
          <w:lang w:val="en-GB"/>
        </w:rPr>
      </w:pPr>
      <w:r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="00231523"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D198B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BD198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D198B">
        <w:rPr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Visualisation of a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trophy rates for total brain</w:t>
      </w:r>
      <w:r w:rsidR="00E10A0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(TBV)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, grey matter</w:t>
      </w:r>
      <w:r w:rsidR="00E10A0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(GM)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and white matter</w:t>
      </w:r>
      <w:r w:rsidR="00E10A0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(WM)</w:t>
      </w:r>
      <w:r w:rsidRPr="0020263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volumes calculated from cross-sectional analysis (FSL-SIENAX)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compared between untreated patients and patients treated with interferon-beta during the first and the second years. </w:t>
      </w:r>
    </w:p>
    <w:sectPr w:rsidR="008F0691" w:rsidRPr="009E2968" w:rsidSect="00E52821">
      <w:pgSz w:w="16840" w:h="11900" w:orient="landscape"/>
      <w:pgMar w:top="984" w:right="1134" w:bottom="731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91"/>
    <w:rsid w:val="000661C7"/>
    <w:rsid w:val="00202638"/>
    <w:rsid w:val="00231523"/>
    <w:rsid w:val="00242488"/>
    <w:rsid w:val="0025148C"/>
    <w:rsid w:val="004174D9"/>
    <w:rsid w:val="004D75EA"/>
    <w:rsid w:val="00501096"/>
    <w:rsid w:val="006252A7"/>
    <w:rsid w:val="006E5159"/>
    <w:rsid w:val="006F1D26"/>
    <w:rsid w:val="007C37B7"/>
    <w:rsid w:val="008128DE"/>
    <w:rsid w:val="008F0691"/>
    <w:rsid w:val="009609A5"/>
    <w:rsid w:val="00987F44"/>
    <w:rsid w:val="009E2968"/>
    <w:rsid w:val="00A67F8B"/>
    <w:rsid w:val="00A81EA9"/>
    <w:rsid w:val="00B30B35"/>
    <w:rsid w:val="00B33965"/>
    <w:rsid w:val="00BD198B"/>
    <w:rsid w:val="00C14266"/>
    <w:rsid w:val="00CB551A"/>
    <w:rsid w:val="00CD4F7A"/>
    <w:rsid w:val="00DE1812"/>
    <w:rsid w:val="00E10A0F"/>
    <w:rsid w:val="00E52821"/>
    <w:rsid w:val="00E550BA"/>
    <w:rsid w:val="00EB497F"/>
    <w:rsid w:val="00ED0682"/>
    <w:rsid w:val="00ED7892"/>
    <w:rsid w:val="00F57F2B"/>
    <w:rsid w:val="00FD5C3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13CD2"/>
  <w14:defaultImageDpi w14:val="32767"/>
  <w15:docId w15:val="{4D48CB81-B0D9-7B40-A2CA-97A2B14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F0691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7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8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8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8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5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1173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Matusche</dc:creator>
  <cp:lastModifiedBy>Britta Matusche</cp:lastModifiedBy>
  <cp:revision>2</cp:revision>
  <dcterms:created xsi:type="dcterms:W3CDTF">2022-10-10T09:37:00Z</dcterms:created>
  <dcterms:modified xsi:type="dcterms:W3CDTF">2022-10-10T09:37:00Z</dcterms:modified>
</cp:coreProperties>
</file>