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754D378" w14:textId="2BF8AC08" w:rsidR="00994A3D" w:rsidRPr="00003043" w:rsidRDefault="00654E8F" w:rsidP="00003043">
      <w:pPr>
        <w:pStyle w:val="Heading1"/>
      </w:pPr>
      <w:r w:rsidRPr="00994A3D">
        <w:t>Supplementary Figures</w:t>
      </w:r>
    </w:p>
    <w:p w14:paraId="3C419443" w14:textId="3A6F3A2A" w:rsidR="00994A3D" w:rsidRPr="001549D3" w:rsidRDefault="00003043" w:rsidP="00994A3D">
      <w:pPr>
        <w:keepNext/>
        <w:jc w:val="center"/>
        <w:rPr>
          <w:rFonts w:cs="Times New Roman"/>
          <w:szCs w:val="24"/>
        </w:rPr>
      </w:pPr>
      <w:r>
        <w:rPr>
          <w:noProof/>
        </w:rPr>
        <w:drawing>
          <wp:inline distT="0" distB="0" distL="0" distR="0" wp14:anchorId="58171FCB" wp14:editId="0E702492">
            <wp:extent cx="6166708" cy="661987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7692" cy="6620931"/>
                    </a:xfrm>
                    <a:prstGeom prst="rect">
                      <a:avLst/>
                    </a:prstGeom>
                    <a:noFill/>
                    <a:ln>
                      <a:noFill/>
                    </a:ln>
                  </pic:spPr>
                </pic:pic>
              </a:graphicData>
            </a:graphic>
          </wp:inline>
        </w:drawing>
      </w:r>
    </w:p>
    <w:p w14:paraId="56A3086B" w14:textId="77777777" w:rsidR="00003043" w:rsidRPr="00003043" w:rsidRDefault="00994A3D" w:rsidP="005D1FB8">
      <w:pPr>
        <w:keepNext/>
        <w:jc w:val="both"/>
        <w:rPr>
          <w:rFonts w:cs="Times New Roman"/>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00003043">
        <w:rPr>
          <w:rFonts w:cs="Times New Roman"/>
          <w:b/>
          <w:szCs w:val="24"/>
        </w:rPr>
        <w:t xml:space="preserve">. </w:t>
      </w:r>
      <w:r w:rsidR="00003043" w:rsidRPr="00003043">
        <w:rPr>
          <w:rFonts w:cs="Times New Roman"/>
          <w:b/>
          <w:bCs/>
          <w:szCs w:val="24"/>
          <w:lang w:val="en-GB"/>
        </w:rPr>
        <w:t>Manual gating strategy of flow cytometry data</w:t>
      </w:r>
      <w:r w:rsidR="00003043">
        <w:rPr>
          <w:rFonts w:cs="Times New Roman"/>
          <w:b/>
          <w:bCs/>
          <w:szCs w:val="24"/>
          <w:lang w:val="en-GB"/>
        </w:rPr>
        <w:t>.</w:t>
      </w:r>
      <w:r w:rsidRPr="001549D3">
        <w:rPr>
          <w:rFonts w:cs="Times New Roman"/>
          <w:szCs w:val="24"/>
        </w:rPr>
        <w:t xml:space="preserve"> </w:t>
      </w:r>
      <w:r w:rsidR="00003043" w:rsidRPr="00003043">
        <w:rPr>
          <w:rFonts w:cs="Times New Roman"/>
          <w:szCs w:val="24"/>
          <w:lang w:val="en-GB"/>
        </w:rPr>
        <w:t>Healthy and MS cohorts from Hamburg were gated on lymphocytes, single cells, CD45</w:t>
      </w:r>
      <w:r w:rsidR="00003043" w:rsidRPr="00003043">
        <w:rPr>
          <w:rFonts w:cs="Times New Roman"/>
          <w:szCs w:val="24"/>
          <w:vertAlign w:val="superscript"/>
          <w:lang w:val="en-GB"/>
        </w:rPr>
        <w:t>+</w:t>
      </w:r>
      <w:r w:rsidR="00003043" w:rsidRPr="00003043">
        <w:rPr>
          <w:rFonts w:cs="Times New Roman"/>
          <w:szCs w:val="24"/>
          <w:lang w:val="en-GB"/>
        </w:rPr>
        <w:t xml:space="preserve"> leukocytes, CD56</w:t>
      </w:r>
      <w:r w:rsidR="00003043" w:rsidRPr="00003043">
        <w:rPr>
          <w:rFonts w:cs="Times New Roman"/>
          <w:szCs w:val="24"/>
          <w:vertAlign w:val="superscript"/>
          <w:lang w:val="en-GB"/>
        </w:rPr>
        <w:t>+</w:t>
      </w:r>
      <w:r w:rsidR="00003043" w:rsidRPr="00003043">
        <w:rPr>
          <w:rFonts w:cs="Times New Roman"/>
          <w:szCs w:val="24"/>
          <w:lang w:val="en-GB"/>
        </w:rPr>
        <w:t xml:space="preserve"> CD3</w:t>
      </w:r>
      <w:r w:rsidR="00003043" w:rsidRPr="00003043">
        <w:rPr>
          <w:rFonts w:cs="Times New Roman"/>
          <w:szCs w:val="24"/>
          <w:vertAlign w:val="superscript"/>
          <w:lang w:val="en-GB"/>
        </w:rPr>
        <w:t>-</w:t>
      </w:r>
      <w:r w:rsidR="00003043" w:rsidRPr="00003043">
        <w:rPr>
          <w:rFonts w:cs="Times New Roman"/>
          <w:szCs w:val="24"/>
          <w:lang w:val="en-GB"/>
        </w:rPr>
        <w:t xml:space="preserve"> and then </w:t>
      </w:r>
      <w:r w:rsidR="00003043" w:rsidRPr="00003043">
        <w:rPr>
          <w:rFonts w:cs="Times New Roman"/>
          <w:szCs w:val="24"/>
          <w:lang w:val="en-GB"/>
        </w:rPr>
        <w:lastRenderedPageBreak/>
        <w:t>divided into CD56</w:t>
      </w:r>
      <w:r w:rsidR="00003043" w:rsidRPr="00003043">
        <w:rPr>
          <w:rFonts w:cs="Times New Roman"/>
          <w:szCs w:val="24"/>
          <w:vertAlign w:val="superscript"/>
          <w:lang w:val="en-GB"/>
        </w:rPr>
        <w:t>bright</w:t>
      </w:r>
      <w:r w:rsidR="00003043" w:rsidRPr="00003043">
        <w:rPr>
          <w:rFonts w:cs="Times New Roman"/>
          <w:szCs w:val="24"/>
          <w:lang w:val="en-GB"/>
        </w:rPr>
        <w:t xml:space="preserve"> and CD56</w:t>
      </w:r>
      <w:r w:rsidR="00003043" w:rsidRPr="00003043">
        <w:rPr>
          <w:rFonts w:cs="Times New Roman"/>
          <w:szCs w:val="24"/>
          <w:vertAlign w:val="superscript"/>
          <w:lang w:val="en-GB"/>
        </w:rPr>
        <w:t>dim</w:t>
      </w:r>
      <w:r w:rsidR="00003043" w:rsidRPr="00003043">
        <w:rPr>
          <w:rFonts w:cs="Times New Roman"/>
          <w:szCs w:val="24"/>
          <w:lang w:val="en-GB"/>
        </w:rPr>
        <w:t xml:space="preserve"> NK populations (</w:t>
      </w:r>
      <w:r w:rsidR="00003043" w:rsidRPr="00003043">
        <w:rPr>
          <w:rFonts w:cs="Times New Roman"/>
          <w:b/>
          <w:bCs/>
          <w:szCs w:val="24"/>
          <w:lang w:val="en-GB"/>
        </w:rPr>
        <w:t>A</w:t>
      </w:r>
      <w:r w:rsidR="00003043" w:rsidRPr="00003043">
        <w:rPr>
          <w:rFonts w:cs="Times New Roman"/>
          <w:szCs w:val="24"/>
          <w:lang w:val="en-GB"/>
        </w:rPr>
        <w:t>). Data from the Berlin MS cohort were gated for lymphocytes, single cells, Lineage negative (Lin</w:t>
      </w:r>
      <w:r w:rsidR="00003043" w:rsidRPr="00003043">
        <w:rPr>
          <w:rFonts w:cs="Times New Roman"/>
          <w:szCs w:val="24"/>
          <w:vertAlign w:val="superscript"/>
          <w:lang w:val="en-GB"/>
        </w:rPr>
        <w:t>-</w:t>
      </w:r>
      <w:r w:rsidR="00003043" w:rsidRPr="00003043">
        <w:rPr>
          <w:rFonts w:cs="Times New Roman"/>
          <w:szCs w:val="24"/>
          <w:lang w:val="en-GB"/>
        </w:rPr>
        <w:t>) cells excluding CD3</w:t>
      </w:r>
      <w:r w:rsidR="00003043" w:rsidRPr="00003043">
        <w:rPr>
          <w:rFonts w:cs="Times New Roman"/>
          <w:szCs w:val="24"/>
          <w:vertAlign w:val="superscript"/>
          <w:lang w:val="en-GB"/>
        </w:rPr>
        <w:t>+</w:t>
      </w:r>
      <w:r w:rsidR="00003043" w:rsidRPr="00003043">
        <w:rPr>
          <w:rFonts w:cs="Times New Roman"/>
          <w:szCs w:val="24"/>
          <w:lang w:val="en-GB"/>
        </w:rPr>
        <w:t>/CD19</w:t>
      </w:r>
      <w:r w:rsidR="00003043" w:rsidRPr="00003043">
        <w:rPr>
          <w:rFonts w:cs="Times New Roman"/>
          <w:szCs w:val="24"/>
          <w:vertAlign w:val="superscript"/>
          <w:lang w:val="en-GB"/>
        </w:rPr>
        <w:t>+</w:t>
      </w:r>
      <w:r w:rsidR="00003043" w:rsidRPr="00003043">
        <w:rPr>
          <w:rFonts w:cs="Times New Roman"/>
          <w:szCs w:val="24"/>
          <w:lang w:val="en-GB"/>
        </w:rPr>
        <w:t>/CD20</w:t>
      </w:r>
      <w:r w:rsidR="00003043" w:rsidRPr="00003043">
        <w:rPr>
          <w:rFonts w:cs="Times New Roman"/>
          <w:szCs w:val="24"/>
          <w:vertAlign w:val="superscript"/>
          <w:lang w:val="en-GB"/>
        </w:rPr>
        <w:t>+</w:t>
      </w:r>
      <w:r w:rsidR="00003043" w:rsidRPr="00003043">
        <w:rPr>
          <w:rFonts w:cs="Times New Roman"/>
          <w:szCs w:val="24"/>
          <w:lang w:val="en-GB"/>
        </w:rPr>
        <w:t>/CD14</w:t>
      </w:r>
      <w:r w:rsidR="00003043" w:rsidRPr="00003043">
        <w:rPr>
          <w:rFonts w:cs="Times New Roman"/>
          <w:szCs w:val="24"/>
          <w:vertAlign w:val="superscript"/>
          <w:lang w:val="en-GB"/>
        </w:rPr>
        <w:t>+</w:t>
      </w:r>
      <w:r w:rsidR="00003043" w:rsidRPr="00003043">
        <w:rPr>
          <w:rFonts w:cs="Times New Roman"/>
          <w:szCs w:val="24"/>
          <w:lang w:val="en-GB"/>
        </w:rPr>
        <w:t xml:space="preserve"> cells. Subsequently, CD56</w:t>
      </w:r>
      <w:r w:rsidR="00003043" w:rsidRPr="00003043">
        <w:rPr>
          <w:rFonts w:cs="Times New Roman"/>
          <w:szCs w:val="24"/>
          <w:vertAlign w:val="superscript"/>
          <w:lang w:val="en-GB"/>
        </w:rPr>
        <w:t>+</w:t>
      </w:r>
      <w:r w:rsidR="00003043" w:rsidRPr="00003043">
        <w:rPr>
          <w:rFonts w:cs="Times New Roman"/>
          <w:szCs w:val="24"/>
          <w:lang w:val="en-GB"/>
        </w:rPr>
        <w:t xml:space="preserve"> NK cells were selected and divided into the populations CD56</w:t>
      </w:r>
      <w:r w:rsidR="00003043" w:rsidRPr="00003043">
        <w:rPr>
          <w:rFonts w:cs="Times New Roman"/>
          <w:szCs w:val="24"/>
          <w:vertAlign w:val="superscript"/>
          <w:lang w:val="en-GB"/>
        </w:rPr>
        <w:t>bright</w:t>
      </w:r>
      <w:r w:rsidR="00003043" w:rsidRPr="00003043">
        <w:rPr>
          <w:rFonts w:cs="Times New Roman"/>
          <w:szCs w:val="24"/>
          <w:lang w:val="en-GB"/>
        </w:rPr>
        <w:t xml:space="preserve"> and CD56</w:t>
      </w:r>
      <w:r w:rsidR="00003043" w:rsidRPr="00003043">
        <w:rPr>
          <w:rFonts w:cs="Times New Roman"/>
          <w:szCs w:val="24"/>
          <w:vertAlign w:val="superscript"/>
          <w:lang w:val="en-GB"/>
        </w:rPr>
        <w:t>dim</w:t>
      </w:r>
      <w:r w:rsidR="00003043" w:rsidRPr="00003043">
        <w:rPr>
          <w:rFonts w:cs="Times New Roman"/>
          <w:szCs w:val="24"/>
          <w:lang w:val="en-GB"/>
        </w:rPr>
        <w:t xml:space="preserve"> (</w:t>
      </w:r>
      <w:r w:rsidR="00003043" w:rsidRPr="00003043">
        <w:rPr>
          <w:rFonts w:cs="Times New Roman"/>
          <w:b/>
          <w:bCs/>
          <w:szCs w:val="24"/>
          <w:lang w:val="en-GB"/>
        </w:rPr>
        <w:t>B</w:t>
      </w:r>
      <w:r w:rsidR="00003043" w:rsidRPr="00003043">
        <w:rPr>
          <w:rFonts w:cs="Times New Roman"/>
          <w:szCs w:val="24"/>
          <w:lang w:val="en-GB"/>
        </w:rPr>
        <w:t>).</w:t>
      </w:r>
    </w:p>
    <w:p w14:paraId="7B65BC41" w14:textId="5CAD28AD" w:rsidR="00DE23E8" w:rsidRDefault="00DE23E8" w:rsidP="00654E8F">
      <w:pPr>
        <w:spacing w:before="240"/>
        <w:rPr>
          <w:rFonts w:cs="Times New Roman"/>
          <w:szCs w:val="24"/>
        </w:rPr>
      </w:pPr>
    </w:p>
    <w:p w14:paraId="79FE5859" w14:textId="23E8561D" w:rsidR="00003043" w:rsidRDefault="00003043" w:rsidP="00654E8F">
      <w:pPr>
        <w:spacing w:before="240"/>
      </w:pPr>
      <w:r w:rsidRPr="00D95017">
        <w:rPr>
          <w:rFonts w:ascii="Arial" w:hAnsi="Arial" w:cs="Arial"/>
          <w:noProof/>
          <w:sz w:val="22"/>
          <w:lang w:val="en-GB"/>
        </w:rPr>
        <w:drawing>
          <wp:inline distT="0" distB="0" distL="0" distR="0" wp14:anchorId="3A081514" wp14:editId="495B8D63">
            <wp:extent cx="6186182" cy="6291263"/>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7782" cy="6303060"/>
                    </a:xfrm>
                    <a:prstGeom prst="rect">
                      <a:avLst/>
                    </a:prstGeom>
                  </pic:spPr>
                </pic:pic>
              </a:graphicData>
            </a:graphic>
          </wp:inline>
        </w:drawing>
      </w:r>
    </w:p>
    <w:p w14:paraId="1A65D9D6" w14:textId="79295152" w:rsidR="00565FC4" w:rsidRDefault="00565FC4" w:rsidP="005D1FB8">
      <w:pPr>
        <w:spacing w:before="240"/>
        <w:jc w:val="both"/>
        <w:rPr>
          <w:lang w:val="en-GB"/>
        </w:rPr>
      </w:pPr>
      <w:r w:rsidRPr="00565FC4">
        <w:rPr>
          <w:b/>
          <w:bCs/>
          <w:lang w:val="en-GB"/>
        </w:rPr>
        <w:t>Supplementary Figure 2</w:t>
      </w:r>
      <w:r>
        <w:rPr>
          <w:b/>
          <w:bCs/>
          <w:lang w:val="en-GB"/>
        </w:rPr>
        <w:t>.</w:t>
      </w:r>
      <w:r w:rsidRPr="00565FC4">
        <w:rPr>
          <w:b/>
          <w:bCs/>
          <w:lang w:val="en-GB"/>
        </w:rPr>
        <w:t xml:space="preserve"> Marker expression of </w:t>
      </w:r>
      <w:proofErr w:type="spellStart"/>
      <w:r w:rsidRPr="00565FC4">
        <w:rPr>
          <w:b/>
          <w:bCs/>
          <w:lang w:val="en-GB"/>
        </w:rPr>
        <w:t>FlowSOM</w:t>
      </w:r>
      <w:proofErr w:type="spellEnd"/>
      <w:r w:rsidRPr="00565FC4">
        <w:rPr>
          <w:b/>
          <w:bCs/>
          <w:lang w:val="en-GB"/>
        </w:rPr>
        <w:t xml:space="preserve"> clusters</w:t>
      </w:r>
      <w:r>
        <w:rPr>
          <w:b/>
          <w:bCs/>
          <w:lang w:val="en-GB"/>
        </w:rPr>
        <w:t>.</w:t>
      </w:r>
      <w:r w:rsidRPr="00565FC4">
        <w:rPr>
          <w:b/>
          <w:bCs/>
          <w:lang w:val="en-GB"/>
        </w:rPr>
        <w:t xml:space="preserve"> </w:t>
      </w:r>
      <w:r w:rsidRPr="00565FC4">
        <w:rPr>
          <w:lang w:val="en-GB"/>
        </w:rPr>
        <w:t xml:space="preserve">Using </w:t>
      </w:r>
      <w:proofErr w:type="spellStart"/>
      <w:r w:rsidRPr="00565FC4">
        <w:rPr>
          <w:lang w:val="en-GB"/>
        </w:rPr>
        <w:t>FlowSOM</w:t>
      </w:r>
      <w:proofErr w:type="spellEnd"/>
      <w:r w:rsidRPr="00565FC4">
        <w:rPr>
          <w:lang w:val="en-GB"/>
        </w:rPr>
        <w:t>, pre-gated Lin</w:t>
      </w:r>
      <w:r w:rsidRPr="00565FC4">
        <w:rPr>
          <w:vertAlign w:val="superscript"/>
          <w:lang w:val="en-GB"/>
        </w:rPr>
        <w:t>-</w:t>
      </w:r>
      <w:r w:rsidRPr="00565FC4">
        <w:rPr>
          <w:lang w:val="en-GB"/>
        </w:rPr>
        <w:t xml:space="preserve"> CD56</w:t>
      </w:r>
      <w:r w:rsidRPr="00565FC4">
        <w:rPr>
          <w:vertAlign w:val="superscript"/>
          <w:lang w:val="en-GB"/>
        </w:rPr>
        <w:t>+</w:t>
      </w:r>
      <w:r w:rsidRPr="00565FC4">
        <w:rPr>
          <w:lang w:val="en-GB"/>
        </w:rPr>
        <w:t xml:space="preserve"> NK cells were clustered based on 12 NK cell markers. The individual nodes of the minimal spanning tree (MST) correspond to the individual clusters of phenotypically similar cells (81 clusters in total). </w:t>
      </w:r>
      <w:r w:rsidR="003957DC">
        <w:rPr>
          <w:lang w:val="en-GB"/>
        </w:rPr>
        <w:t>I</w:t>
      </w:r>
      <w:r w:rsidR="00456B20">
        <w:rPr>
          <w:lang w:val="en-GB"/>
        </w:rPr>
        <w:t>ndividual</w:t>
      </w:r>
      <w:r w:rsidR="00C02D21">
        <w:rPr>
          <w:lang w:val="en-GB"/>
        </w:rPr>
        <w:t xml:space="preserve"> clusters </w:t>
      </w:r>
      <w:r w:rsidR="003957DC">
        <w:rPr>
          <w:lang w:val="en-GB"/>
        </w:rPr>
        <w:t>are grouped in</w:t>
      </w:r>
      <w:r w:rsidR="00B75F3C">
        <w:rPr>
          <w:lang w:val="en-GB"/>
        </w:rPr>
        <w:t xml:space="preserve"> 20</w:t>
      </w:r>
      <w:r w:rsidR="00C02D21">
        <w:rPr>
          <w:lang w:val="en-GB"/>
        </w:rPr>
        <w:t xml:space="preserve"> </w:t>
      </w:r>
      <w:proofErr w:type="spellStart"/>
      <w:r w:rsidR="00C02D21">
        <w:rPr>
          <w:lang w:val="en-GB"/>
        </w:rPr>
        <w:t>m</w:t>
      </w:r>
      <w:r w:rsidRPr="00565FC4">
        <w:rPr>
          <w:lang w:val="en-GB"/>
        </w:rPr>
        <w:t>etaclusters</w:t>
      </w:r>
      <w:proofErr w:type="spellEnd"/>
      <w:r w:rsidR="00C02D21">
        <w:rPr>
          <w:lang w:val="en-GB"/>
        </w:rPr>
        <w:t xml:space="preserve"> that</w:t>
      </w:r>
      <w:r w:rsidRPr="00565FC4">
        <w:rPr>
          <w:lang w:val="en-GB"/>
        </w:rPr>
        <w:t xml:space="preserve"> are indicated by</w:t>
      </w:r>
      <w:r w:rsidR="00C02D21">
        <w:rPr>
          <w:lang w:val="en-GB"/>
        </w:rPr>
        <w:t xml:space="preserve"> </w:t>
      </w:r>
      <w:bookmarkStart w:id="0" w:name="_Hlk104374296"/>
      <w:r w:rsidR="00B75F3C">
        <w:rPr>
          <w:lang w:val="en-GB"/>
        </w:rPr>
        <w:t xml:space="preserve">numbers, </w:t>
      </w:r>
      <w:r w:rsidR="00C02D21">
        <w:rPr>
          <w:lang w:val="en-GB"/>
        </w:rPr>
        <w:t xml:space="preserve">shades of </w:t>
      </w:r>
      <w:r w:rsidR="00C02D21">
        <w:rPr>
          <w:lang w:val="en-GB"/>
        </w:rPr>
        <w:lastRenderedPageBreak/>
        <w:t>grey and</w:t>
      </w:r>
      <w:r w:rsidRPr="00565FC4">
        <w:rPr>
          <w:lang w:val="en-GB"/>
        </w:rPr>
        <w:t xml:space="preserve"> differently coloured backgrounds</w:t>
      </w:r>
      <w:bookmarkEnd w:id="0"/>
      <w:r w:rsidRPr="00565FC4">
        <w:rPr>
          <w:lang w:val="en-GB"/>
        </w:rPr>
        <w:t xml:space="preserve"> (see annotation of </w:t>
      </w:r>
      <w:proofErr w:type="spellStart"/>
      <w:r w:rsidRPr="00565FC4">
        <w:rPr>
          <w:lang w:val="en-GB"/>
        </w:rPr>
        <w:t>metaclusters</w:t>
      </w:r>
      <w:proofErr w:type="spellEnd"/>
      <w:r w:rsidRPr="00565FC4">
        <w:rPr>
          <w:lang w:val="en-GB"/>
        </w:rPr>
        <w:t>).</w:t>
      </w:r>
      <w:r w:rsidR="003957DC">
        <w:rPr>
          <w:lang w:val="en-GB"/>
        </w:rPr>
        <w:t xml:space="preserve"> In the results </w:t>
      </w:r>
      <w:r w:rsidR="005A18D6">
        <w:rPr>
          <w:lang w:val="en-GB"/>
        </w:rPr>
        <w:t>section</w:t>
      </w:r>
      <w:r w:rsidR="003957DC">
        <w:rPr>
          <w:lang w:val="en-GB"/>
        </w:rPr>
        <w:t xml:space="preserve">, </w:t>
      </w:r>
      <w:proofErr w:type="spellStart"/>
      <w:r w:rsidR="003957DC">
        <w:rPr>
          <w:lang w:val="en-GB"/>
        </w:rPr>
        <w:t>metaclusters</w:t>
      </w:r>
      <w:proofErr w:type="spellEnd"/>
      <w:r w:rsidR="005A18D6">
        <w:rPr>
          <w:lang w:val="en-GB"/>
        </w:rPr>
        <w:t xml:space="preserve"> are simply referred to as clusters.</w:t>
      </w:r>
      <w:r w:rsidRPr="00565FC4">
        <w:rPr>
          <w:lang w:val="en-GB"/>
        </w:rPr>
        <w:t xml:space="preserve"> The size of the nodes shows the number of cells in a</w:t>
      </w:r>
      <w:r w:rsidR="00B75F3C">
        <w:rPr>
          <w:lang w:val="en-GB"/>
        </w:rPr>
        <w:t xml:space="preserve">n individual </w:t>
      </w:r>
      <w:r w:rsidRPr="00565FC4">
        <w:rPr>
          <w:lang w:val="en-GB"/>
        </w:rPr>
        <w:t xml:space="preserve">cluster (the larger, the more cells). Clusters that are located in close proximity within the MST contain cells with similar marker expression. The colour of the clusters represents the </w:t>
      </w:r>
      <w:bookmarkStart w:id="1" w:name="_Hlk97794476"/>
      <w:r w:rsidRPr="00565FC4">
        <w:rPr>
          <w:lang w:val="en-GB"/>
        </w:rPr>
        <w:t xml:space="preserve">median fluorescence intensity </w:t>
      </w:r>
      <w:bookmarkEnd w:id="1"/>
      <w:r w:rsidRPr="00565FC4">
        <w:rPr>
          <w:lang w:val="en-GB"/>
        </w:rPr>
        <w:t xml:space="preserve">of the respective marker (minimum, blue; maximum, red): For all markers except CD56, dark blue indicates negative expression and dark red indicates highly positive expression. For CD56, dark blue indicates very dim expression (as all </w:t>
      </w:r>
      <w:proofErr w:type="spellStart"/>
      <w:r w:rsidRPr="00565FC4">
        <w:rPr>
          <w:lang w:val="en-GB"/>
        </w:rPr>
        <w:t>analyzed</w:t>
      </w:r>
      <w:proofErr w:type="spellEnd"/>
      <w:r w:rsidRPr="00565FC4">
        <w:rPr>
          <w:lang w:val="en-GB"/>
        </w:rPr>
        <w:t xml:space="preserve"> cells are CD56</w:t>
      </w:r>
      <w:r w:rsidRPr="00565FC4">
        <w:rPr>
          <w:vertAlign w:val="superscript"/>
          <w:lang w:val="en-GB"/>
        </w:rPr>
        <w:t>+</w:t>
      </w:r>
      <w:r w:rsidRPr="00565FC4">
        <w:rPr>
          <w:lang w:val="en-GB"/>
        </w:rPr>
        <w:t>) and dark red indicates bright expression</w:t>
      </w:r>
      <w:r>
        <w:rPr>
          <w:lang w:val="en-GB"/>
        </w:rPr>
        <w:t>.</w:t>
      </w:r>
    </w:p>
    <w:p w14:paraId="2E1ACCD5" w14:textId="77777777" w:rsidR="00565FC4" w:rsidRDefault="00565FC4" w:rsidP="00565FC4">
      <w:pPr>
        <w:spacing w:before="240"/>
        <w:rPr>
          <w:lang w:val="en-GB"/>
        </w:rPr>
      </w:pPr>
    </w:p>
    <w:p w14:paraId="681176E5" w14:textId="77777777" w:rsidR="00565FC4" w:rsidRPr="00565FC4" w:rsidRDefault="00565FC4" w:rsidP="00565FC4">
      <w:pPr>
        <w:spacing w:before="240"/>
        <w:rPr>
          <w:b/>
          <w:bCs/>
          <w:lang w:val="en-GB"/>
        </w:rPr>
      </w:pPr>
      <w:r w:rsidRPr="00565FC4">
        <w:rPr>
          <w:b/>
          <w:bCs/>
          <w:noProof/>
          <w:lang w:val="en-GB"/>
        </w:rPr>
        <w:drawing>
          <wp:inline distT="0" distB="0" distL="0" distR="0" wp14:anchorId="4A95C20C" wp14:editId="6E422EBB">
            <wp:extent cx="5321300" cy="3810000"/>
            <wp:effectExtent l="0" t="0" r="0" b="0"/>
            <wp:docPr id="2" name="Grafik 2" descr="Ein Bild, das Text, Monitor, verschieden, Hau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Monitor, verschieden, Hauf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1300" cy="3810000"/>
                    </a:xfrm>
                    <a:prstGeom prst="rect">
                      <a:avLst/>
                    </a:prstGeom>
                  </pic:spPr>
                </pic:pic>
              </a:graphicData>
            </a:graphic>
          </wp:inline>
        </w:drawing>
      </w:r>
    </w:p>
    <w:p w14:paraId="3B540504" w14:textId="01AF59EB" w:rsidR="00565FC4" w:rsidRDefault="00565FC4" w:rsidP="005D1FB8">
      <w:pPr>
        <w:spacing w:before="240"/>
        <w:jc w:val="both"/>
        <w:rPr>
          <w:b/>
          <w:bCs/>
          <w:lang w:val="en-GB"/>
        </w:rPr>
      </w:pPr>
      <w:r w:rsidRPr="00565FC4">
        <w:rPr>
          <w:b/>
          <w:bCs/>
          <w:lang w:val="en-GB"/>
        </w:rPr>
        <w:t xml:space="preserve">Supplementary </w:t>
      </w:r>
      <w:r w:rsidR="008E5995">
        <w:rPr>
          <w:b/>
          <w:bCs/>
          <w:lang w:val="en-GB"/>
        </w:rPr>
        <w:t>F</w:t>
      </w:r>
      <w:r w:rsidRPr="00565FC4">
        <w:rPr>
          <w:b/>
          <w:bCs/>
          <w:lang w:val="en-GB"/>
        </w:rPr>
        <w:t>igure 3</w:t>
      </w:r>
      <w:r>
        <w:rPr>
          <w:b/>
          <w:bCs/>
          <w:lang w:val="en-GB"/>
        </w:rPr>
        <w:t>.</w:t>
      </w:r>
      <w:r w:rsidRPr="00565FC4">
        <w:rPr>
          <w:b/>
          <w:bCs/>
          <w:lang w:val="en-GB"/>
        </w:rPr>
        <w:t xml:space="preserve"> </w:t>
      </w:r>
      <w:r w:rsidRPr="00565FC4">
        <w:rPr>
          <w:b/>
          <w:bCs/>
        </w:rPr>
        <w:t>Pregnancy-induced NK cell shifts reverse after pregnancy.</w:t>
      </w:r>
      <w:r>
        <w:rPr>
          <w:b/>
          <w:bCs/>
          <w:lang w:val="en-GB"/>
        </w:rPr>
        <w:t xml:space="preserve"> </w:t>
      </w:r>
      <w:r w:rsidRPr="00565FC4">
        <w:t>Frequency of CD56</w:t>
      </w:r>
      <w:r w:rsidRPr="00565FC4">
        <w:rPr>
          <w:vertAlign w:val="superscript"/>
        </w:rPr>
        <w:t>bright</w:t>
      </w:r>
      <w:r w:rsidRPr="00565FC4">
        <w:t xml:space="preserve"> NK cells (</w:t>
      </w:r>
      <w:r w:rsidRPr="00565FC4">
        <w:rPr>
          <w:b/>
          <w:bCs/>
        </w:rPr>
        <w:t>A</w:t>
      </w:r>
      <w:r w:rsidRPr="00565FC4">
        <w:t>) and CD56</w:t>
      </w:r>
      <w:r w:rsidRPr="00565FC4">
        <w:rPr>
          <w:vertAlign w:val="superscript"/>
        </w:rPr>
        <w:t>dim</w:t>
      </w:r>
      <w:r w:rsidRPr="00565FC4">
        <w:t xml:space="preserve"> NK cells (</w:t>
      </w:r>
      <w:r w:rsidRPr="00565FC4">
        <w:rPr>
          <w:b/>
          <w:bCs/>
        </w:rPr>
        <w:t>B</w:t>
      </w:r>
      <w:r w:rsidRPr="00565FC4">
        <w:t>) in pregnant MS patients (MS, Hamburg cohort) shown for each trimester of gestation and 3 months postpartum. Boxplots depict median and inter-quartile range, overlaid with datapoints of individuals. Gray boxes represent pregnancy. Statistics performed by Wilcoxon paired test.</w:t>
      </w:r>
    </w:p>
    <w:p w14:paraId="22E73647" w14:textId="1B1A0262" w:rsidR="00565FC4" w:rsidRDefault="00565FC4" w:rsidP="00565FC4">
      <w:pPr>
        <w:spacing w:before="240"/>
        <w:rPr>
          <w:b/>
          <w:bCs/>
          <w:lang w:val="en-GB"/>
        </w:rPr>
      </w:pPr>
    </w:p>
    <w:p w14:paraId="4FDA331B" w14:textId="77777777" w:rsidR="00565FC4" w:rsidRPr="00565FC4" w:rsidRDefault="00565FC4" w:rsidP="00565FC4">
      <w:pPr>
        <w:spacing w:before="240"/>
        <w:rPr>
          <w:b/>
          <w:bCs/>
          <w:lang w:val="en-GB"/>
        </w:rPr>
      </w:pPr>
    </w:p>
    <w:p w14:paraId="42CA7F4D" w14:textId="77777777" w:rsidR="00565FC4" w:rsidRDefault="00565FC4" w:rsidP="00565FC4">
      <w:pPr>
        <w:spacing w:before="240"/>
        <w:rPr>
          <w:b/>
          <w:bCs/>
        </w:rPr>
      </w:pPr>
      <w:r w:rsidRPr="00565FC4">
        <w:rPr>
          <w:b/>
          <w:bCs/>
          <w:noProof/>
          <w:lang w:val="de-DE"/>
        </w:rPr>
        <w:lastRenderedPageBreak/>
        <w:drawing>
          <wp:inline distT="0" distB="0" distL="0" distR="0" wp14:anchorId="7C07BD1B" wp14:editId="0DB1E1B8">
            <wp:extent cx="6153150" cy="227282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2638" cy="2294797"/>
                    </a:xfrm>
                    <a:prstGeom prst="rect">
                      <a:avLst/>
                    </a:prstGeom>
                    <a:noFill/>
                    <a:ln>
                      <a:noFill/>
                    </a:ln>
                  </pic:spPr>
                </pic:pic>
              </a:graphicData>
            </a:graphic>
          </wp:inline>
        </w:drawing>
      </w:r>
    </w:p>
    <w:p w14:paraId="12B52694" w14:textId="338CB674" w:rsidR="00565FC4" w:rsidRPr="00565FC4" w:rsidRDefault="00565FC4" w:rsidP="005D1FB8">
      <w:pPr>
        <w:spacing w:before="240"/>
        <w:jc w:val="both"/>
        <w:rPr>
          <w:b/>
          <w:bCs/>
        </w:rPr>
      </w:pPr>
      <w:r w:rsidRPr="00565FC4">
        <w:rPr>
          <w:b/>
          <w:bCs/>
          <w:lang w:val="en-GB"/>
        </w:rPr>
        <w:t xml:space="preserve">Supplementary </w:t>
      </w:r>
      <w:r w:rsidR="008E5995">
        <w:rPr>
          <w:b/>
          <w:bCs/>
          <w:lang w:val="en-GB"/>
        </w:rPr>
        <w:t>F</w:t>
      </w:r>
      <w:r w:rsidRPr="00565FC4">
        <w:rPr>
          <w:b/>
          <w:bCs/>
          <w:lang w:val="en-GB"/>
        </w:rPr>
        <w:t>igure 4. Neuroinflammatory activity in the Berlin MS cohort</w:t>
      </w:r>
      <w:r>
        <w:rPr>
          <w:b/>
          <w:bCs/>
          <w:lang w:val="en-GB"/>
        </w:rPr>
        <w:t xml:space="preserve">. </w:t>
      </w:r>
      <w:r w:rsidRPr="00565FC4">
        <w:t>Neuroinflammatory activity is shown as absolute number of T2 lesions (</w:t>
      </w:r>
      <w:r w:rsidRPr="00565FC4">
        <w:rPr>
          <w:b/>
          <w:bCs/>
        </w:rPr>
        <w:t>A</w:t>
      </w:r>
      <w:r w:rsidRPr="00565FC4">
        <w:t>) and absolute lesion volume (</w:t>
      </w:r>
      <w:r w:rsidRPr="00565FC4">
        <w:rPr>
          <w:b/>
          <w:bCs/>
        </w:rPr>
        <w:t>B</w:t>
      </w:r>
      <w:r w:rsidRPr="00565FC4">
        <w:t xml:space="preserve">). Boxplots depict median and inter-quartile range, overlaid with datapoints of individuals. Gray boxes represent pregnancy. </w:t>
      </w:r>
    </w:p>
    <w:p w14:paraId="7F034A09" w14:textId="77777777" w:rsidR="00565FC4" w:rsidRPr="00565FC4" w:rsidRDefault="00565FC4" w:rsidP="00565FC4">
      <w:pPr>
        <w:spacing w:before="240"/>
        <w:rPr>
          <w:b/>
          <w:bCs/>
          <w:lang w:val="en-GB"/>
        </w:rPr>
      </w:pPr>
    </w:p>
    <w:p w14:paraId="233C6F07" w14:textId="77777777" w:rsidR="00565FC4" w:rsidRPr="00565FC4" w:rsidRDefault="00565FC4" w:rsidP="00654E8F">
      <w:pPr>
        <w:spacing w:before="240"/>
        <w:rPr>
          <w:lang w:val="en-GB"/>
        </w:rPr>
      </w:pPr>
    </w:p>
    <w:sectPr w:rsidR="00565FC4" w:rsidRPr="00565FC4"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D40F4" w14:textId="77777777" w:rsidR="00224A16" w:rsidRDefault="00224A16" w:rsidP="00117666">
      <w:pPr>
        <w:spacing w:after="0"/>
      </w:pPr>
      <w:r>
        <w:separator/>
      </w:r>
    </w:p>
  </w:endnote>
  <w:endnote w:type="continuationSeparator" w:id="0">
    <w:p w14:paraId="550AAE62" w14:textId="77777777" w:rsidR="00224A16" w:rsidRDefault="00224A1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49718" w14:textId="77777777" w:rsidR="00224A16" w:rsidRDefault="00224A16" w:rsidP="00117666">
      <w:pPr>
        <w:spacing w:after="0"/>
      </w:pPr>
      <w:r>
        <w:separator/>
      </w:r>
    </w:p>
  </w:footnote>
  <w:footnote w:type="continuationSeparator" w:id="0">
    <w:p w14:paraId="5893D016" w14:textId="77777777" w:rsidR="00224A16" w:rsidRDefault="00224A1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296327074">
    <w:abstractNumId w:val="0"/>
  </w:num>
  <w:num w:numId="2" w16cid:durableId="1132596369">
    <w:abstractNumId w:val="4"/>
  </w:num>
  <w:num w:numId="3" w16cid:durableId="1013998631">
    <w:abstractNumId w:val="1"/>
  </w:num>
  <w:num w:numId="4" w16cid:durableId="1430008838">
    <w:abstractNumId w:val="5"/>
  </w:num>
  <w:num w:numId="5" w16cid:durableId="123352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2859900">
    <w:abstractNumId w:val="3"/>
  </w:num>
  <w:num w:numId="7" w16cid:durableId="1250848177">
    <w:abstractNumId w:val="6"/>
  </w:num>
  <w:num w:numId="8" w16cid:durableId="374039470">
    <w:abstractNumId w:val="6"/>
  </w:num>
  <w:num w:numId="9" w16cid:durableId="610092522">
    <w:abstractNumId w:val="6"/>
  </w:num>
  <w:num w:numId="10" w16cid:durableId="1958412543">
    <w:abstractNumId w:val="6"/>
  </w:num>
  <w:num w:numId="11" w16cid:durableId="1972175563">
    <w:abstractNumId w:val="6"/>
  </w:num>
  <w:num w:numId="12" w16cid:durableId="1587572731">
    <w:abstractNumId w:val="6"/>
  </w:num>
  <w:num w:numId="13" w16cid:durableId="1654329444">
    <w:abstractNumId w:val="3"/>
  </w:num>
  <w:num w:numId="14" w16cid:durableId="220017857">
    <w:abstractNumId w:val="2"/>
  </w:num>
  <w:num w:numId="15" w16cid:durableId="1921940915">
    <w:abstractNumId w:val="2"/>
  </w:num>
  <w:num w:numId="16" w16cid:durableId="1241401652">
    <w:abstractNumId w:val="2"/>
  </w:num>
  <w:num w:numId="17" w16cid:durableId="457451772">
    <w:abstractNumId w:val="2"/>
  </w:num>
  <w:num w:numId="18" w16cid:durableId="1578248380">
    <w:abstractNumId w:val="2"/>
  </w:num>
  <w:num w:numId="19" w16cid:durableId="8918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3043"/>
    <w:rsid w:val="0001436A"/>
    <w:rsid w:val="00034304"/>
    <w:rsid w:val="00035434"/>
    <w:rsid w:val="00052A14"/>
    <w:rsid w:val="00077D53"/>
    <w:rsid w:val="000D7A99"/>
    <w:rsid w:val="00105FD9"/>
    <w:rsid w:val="00117666"/>
    <w:rsid w:val="00127DEB"/>
    <w:rsid w:val="001549D3"/>
    <w:rsid w:val="00160065"/>
    <w:rsid w:val="00177D84"/>
    <w:rsid w:val="00224A16"/>
    <w:rsid w:val="00267D18"/>
    <w:rsid w:val="00274347"/>
    <w:rsid w:val="002868E2"/>
    <w:rsid w:val="002869C3"/>
    <w:rsid w:val="002936E4"/>
    <w:rsid w:val="002B4A57"/>
    <w:rsid w:val="002C74CA"/>
    <w:rsid w:val="003123F4"/>
    <w:rsid w:val="003544FB"/>
    <w:rsid w:val="003957DC"/>
    <w:rsid w:val="003D2F2D"/>
    <w:rsid w:val="00401590"/>
    <w:rsid w:val="00447801"/>
    <w:rsid w:val="00452E9C"/>
    <w:rsid w:val="00456B20"/>
    <w:rsid w:val="004735C8"/>
    <w:rsid w:val="004947A6"/>
    <w:rsid w:val="004961FF"/>
    <w:rsid w:val="00517A89"/>
    <w:rsid w:val="005250F2"/>
    <w:rsid w:val="00565FC4"/>
    <w:rsid w:val="00593EEA"/>
    <w:rsid w:val="005A18D6"/>
    <w:rsid w:val="005A5EEE"/>
    <w:rsid w:val="005D1FB8"/>
    <w:rsid w:val="00605123"/>
    <w:rsid w:val="00623408"/>
    <w:rsid w:val="006375C7"/>
    <w:rsid w:val="00654E8F"/>
    <w:rsid w:val="00660D05"/>
    <w:rsid w:val="006820B1"/>
    <w:rsid w:val="006B7D14"/>
    <w:rsid w:val="00701727"/>
    <w:rsid w:val="0070566C"/>
    <w:rsid w:val="00714C50"/>
    <w:rsid w:val="00725A7D"/>
    <w:rsid w:val="007501BE"/>
    <w:rsid w:val="00790BB3"/>
    <w:rsid w:val="007C1AAA"/>
    <w:rsid w:val="007C206C"/>
    <w:rsid w:val="00817DD6"/>
    <w:rsid w:val="0083759F"/>
    <w:rsid w:val="00885156"/>
    <w:rsid w:val="008E5995"/>
    <w:rsid w:val="009151AA"/>
    <w:rsid w:val="0093429D"/>
    <w:rsid w:val="00943573"/>
    <w:rsid w:val="00964134"/>
    <w:rsid w:val="00970F7D"/>
    <w:rsid w:val="00994A3D"/>
    <w:rsid w:val="009C2B12"/>
    <w:rsid w:val="009E0198"/>
    <w:rsid w:val="00A174D9"/>
    <w:rsid w:val="00AA4D24"/>
    <w:rsid w:val="00AB6715"/>
    <w:rsid w:val="00B1671E"/>
    <w:rsid w:val="00B25EB8"/>
    <w:rsid w:val="00B37F4D"/>
    <w:rsid w:val="00B75F3C"/>
    <w:rsid w:val="00C02D21"/>
    <w:rsid w:val="00C52A7B"/>
    <w:rsid w:val="00C56BAF"/>
    <w:rsid w:val="00C66C26"/>
    <w:rsid w:val="00C679AA"/>
    <w:rsid w:val="00C75972"/>
    <w:rsid w:val="00CD066B"/>
    <w:rsid w:val="00CE4FEE"/>
    <w:rsid w:val="00D060CF"/>
    <w:rsid w:val="00DB59C3"/>
    <w:rsid w:val="00DC259A"/>
    <w:rsid w:val="00DE23E8"/>
    <w:rsid w:val="00E25991"/>
    <w:rsid w:val="00E52377"/>
    <w:rsid w:val="00E537AD"/>
    <w:rsid w:val="00E64E17"/>
    <w:rsid w:val="00E866C9"/>
    <w:rsid w:val="00EA3D3C"/>
    <w:rsid w:val="00EC090A"/>
    <w:rsid w:val="00EC7EEE"/>
    <w:rsid w:val="00ED20B5"/>
    <w:rsid w:val="00F46900"/>
    <w:rsid w:val="00F61D89"/>
    <w:rsid w:val="00F90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C02D2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4</Pages>
  <Words>361</Words>
  <Characters>2062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Eleanor Masterman</cp:lastModifiedBy>
  <cp:revision>4</cp:revision>
  <cp:lastPrinted>2013-10-03T12:51:00Z</cp:lastPrinted>
  <dcterms:created xsi:type="dcterms:W3CDTF">2022-05-25T10:01:00Z</dcterms:created>
  <dcterms:modified xsi:type="dcterms:W3CDTF">2022-05-30T16:21:00Z</dcterms:modified>
</cp:coreProperties>
</file>