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2312F" w14:textId="77777777" w:rsidR="00F36B24" w:rsidRPr="00AA65B8" w:rsidRDefault="00F36B24" w:rsidP="00F36B24">
      <w:pPr>
        <w:rPr>
          <w:rFonts w:eastAsia="Times New Roman"/>
          <w:b/>
          <w:lang w:val="en-GB"/>
        </w:rPr>
      </w:pPr>
      <w:r w:rsidRPr="00AA65B8">
        <w:rPr>
          <w:rFonts w:eastAsia="Times New Roman"/>
          <w:b/>
          <w:sz w:val="28"/>
          <w:szCs w:val="28"/>
          <w:lang w:val="en-GB"/>
        </w:rPr>
        <w:t xml:space="preserve">Capecitabine in combination with </w:t>
      </w:r>
      <w:proofErr w:type="spellStart"/>
      <w:r w:rsidRPr="00AA65B8">
        <w:rPr>
          <w:rFonts w:eastAsia="Times New Roman"/>
          <w:b/>
          <w:sz w:val="28"/>
          <w:szCs w:val="28"/>
          <w:lang w:val="en-GB"/>
        </w:rPr>
        <w:t>bendamustine</w:t>
      </w:r>
      <w:proofErr w:type="spellEnd"/>
      <w:r w:rsidRPr="00AA65B8">
        <w:rPr>
          <w:rFonts w:eastAsia="Times New Roman"/>
          <w:b/>
          <w:sz w:val="28"/>
          <w:szCs w:val="28"/>
          <w:lang w:val="en-GB"/>
        </w:rPr>
        <w:t xml:space="preserve"> in </w:t>
      </w:r>
      <w:proofErr w:type="spellStart"/>
      <w:r w:rsidRPr="00AA65B8">
        <w:rPr>
          <w:rFonts w:eastAsia="Times New Roman"/>
          <w:b/>
          <w:sz w:val="28"/>
          <w:szCs w:val="28"/>
          <w:lang w:val="en-GB"/>
        </w:rPr>
        <w:t>pretreated</w:t>
      </w:r>
      <w:proofErr w:type="spellEnd"/>
      <w:r w:rsidRPr="00AA65B8">
        <w:rPr>
          <w:rFonts w:eastAsia="Times New Roman"/>
          <w:b/>
          <w:sz w:val="28"/>
          <w:szCs w:val="28"/>
          <w:lang w:val="en-GB"/>
        </w:rPr>
        <w:t xml:space="preserve"> women with HER2-negative metastatic breast cancer: results of a phase II trial (AGMT MBC-6)</w:t>
      </w:r>
    </w:p>
    <w:p w14:paraId="120FF0CA" w14:textId="512A3E9B" w:rsidR="00F36B24" w:rsidRDefault="00F36B24" w:rsidP="006E0BDC">
      <w:pPr>
        <w:pStyle w:val="FigureandTableHeader"/>
      </w:pPr>
      <w:r>
        <w:t>Supplementary information</w:t>
      </w:r>
    </w:p>
    <w:p w14:paraId="5BFD00B9" w14:textId="77777777" w:rsidR="00F36B24" w:rsidRDefault="00F36B24" w:rsidP="006E0BDC">
      <w:pPr>
        <w:pStyle w:val="FigureandTableHeader"/>
      </w:pPr>
    </w:p>
    <w:p w14:paraId="07EE15B5" w14:textId="08952018" w:rsidR="00943B61" w:rsidRPr="00B33200" w:rsidRDefault="00943B61" w:rsidP="006E0BDC">
      <w:pPr>
        <w:pStyle w:val="FigureandTableHeader"/>
      </w:pPr>
      <w:r w:rsidRPr="00B33200">
        <w:t>Table S</w:t>
      </w:r>
      <w:r w:rsidR="006E0BDC" w:rsidRPr="00B33200">
        <w:t>1</w:t>
      </w:r>
      <w:r w:rsidRPr="00B33200">
        <w:t xml:space="preserve">: </w:t>
      </w:r>
      <w:r w:rsidR="006E0BDC" w:rsidRPr="00B33200">
        <w:t>Inclusion and Exclusion criteria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943B61" w:rsidRPr="00B33200" w14:paraId="0A3DE4E8" w14:textId="77777777" w:rsidTr="007B6DEB">
        <w:tc>
          <w:tcPr>
            <w:tcW w:w="9056" w:type="dxa"/>
          </w:tcPr>
          <w:p w14:paraId="53C36671" w14:textId="77777777" w:rsidR="00943B61" w:rsidRPr="003A19F1" w:rsidRDefault="00943B61" w:rsidP="00943B61">
            <w:pPr>
              <w:pStyle w:val="TableContent"/>
              <w:rPr>
                <w:b/>
                <w:bCs/>
                <w:lang w:val="en-GB"/>
              </w:rPr>
            </w:pPr>
            <w:r w:rsidRPr="003A19F1">
              <w:rPr>
                <w:b/>
                <w:bCs/>
                <w:lang w:val="en-GB"/>
              </w:rPr>
              <w:t>Inclusion Criteria</w:t>
            </w:r>
          </w:p>
        </w:tc>
      </w:tr>
      <w:tr w:rsidR="00943B61" w:rsidRPr="007B6DEB" w14:paraId="53801AE3" w14:textId="77777777" w:rsidTr="007B6DEB">
        <w:tc>
          <w:tcPr>
            <w:tcW w:w="9056" w:type="dxa"/>
          </w:tcPr>
          <w:p w14:paraId="03834252" w14:textId="77777777" w:rsidR="00943B61" w:rsidRPr="003A19F1" w:rsidRDefault="00943B61" w:rsidP="00943B61">
            <w:pPr>
              <w:pStyle w:val="TableContent"/>
              <w:numPr>
                <w:ilvl w:val="0"/>
                <w:numId w:val="6"/>
              </w:numPr>
              <w:ind w:left="311" w:hanging="284"/>
              <w:rPr>
                <w:color w:val="auto"/>
                <w:lang w:val="en-GB"/>
              </w:rPr>
            </w:pPr>
            <w:r w:rsidRPr="003A19F1">
              <w:rPr>
                <w:color w:val="auto"/>
                <w:lang w:val="en-GB"/>
              </w:rPr>
              <w:t>Signed informed consent</w:t>
            </w:r>
          </w:p>
          <w:p w14:paraId="5D93F371" w14:textId="77777777" w:rsidR="00943B61" w:rsidRPr="003A19F1" w:rsidRDefault="00943B61" w:rsidP="00943B61">
            <w:pPr>
              <w:pStyle w:val="TableContent"/>
              <w:numPr>
                <w:ilvl w:val="0"/>
                <w:numId w:val="6"/>
              </w:numPr>
              <w:ind w:left="311" w:hanging="284"/>
              <w:rPr>
                <w:color w:val="auto"/>
                <w:lang w:val="en-GB"/>
              </w:rPr>
            </w:pPr>
            <w:r w:rsidRPr="003A19F1">
              <w:rPr>
                <w:color w:val="auto"/>
                <w:lang w:val="en-GB"/>
              </w:rPr>
              <w:t xml:space="preserve">Female patients, age ≥ 18 years (women of childbearing potential must have a negative pregnancy test at screening and must use effective contraception) </w:t>
            </w:r>
          </w:p>
          <w:p w14:paraId="0FEF23F9" w14:textId="77777777" w:rsidR="00943B61" w:rsidRPr="003A19F1" w:rsidRDefault="00943B61" w:rsidP="00943B61">
            <w:pPr>
              <w:pStyle w:val="TableContent"/>
              <w:numPr>
                <w:ilvl w:val="0"/>
                <w:numId w:val="6"/>
              </w:numPr>
              <w:ind w:left="311" w:hanging="284"/>
              <w:rPr>
                <w:color w:val="auto"/>
                <w:lang w:val="en-GB"/>
              </w:rPr>
            </w:pPr>
            <w:r w:rsidRPr="003A19F1">
              <w:rPr>
                <w:color w:val="auto"/>
                <w:lang w:val="en-GB"/>
              </w:rPr>
              <w:t>Advanced or metastatic Her2-negative breast cancer, histologically confirmed</w:t>
            </w:r>
          </w:p>
          <w:p w14:paraId="6443CCD7" w14:textId="77777777" w:rsidR="00943B61" w:rsidRPr="003A19F1" w:rsidRDefault="00943B61" w:rsidP="00943B61">
            <w:pPr>
              <w:pStyle w:val="TableContent"/>
              <w:numPr>
                <w:ilvl w:val="0"/>
                <w:numId w:val="6"/>
              </w:numPr>
              <w:ind w:left="311" w:hanging="284"/>
              <w:rPr>
                <w:color w:val="auto"/>
                <w:lang w:val="en-GB"/>
              </w:rPr>
            </w:pPr>
            <w:r w:rsidRPr="003A19F1">
              <w:rPr>
                <w:color w:val="auto"/>
                <w:lang w:val="en-GB"/>
              </w:rPr>
              <w:t>At least one measurable lesion according to RECIST criteria (Version 1.1)</w:t>
            </w:r>
          </w:p>
          <w:p w14:paraId="18163597" w14:textId="77777777" w:rsidR="00943B61" w:rsidRPr="003A19F1" w:rsidRDefault="00943B61" w:rsidP="00943B61">
            <w:pPr>
              <w:pStyle w:val="TableContent"/>
              <w:numPr>
                <w:ilvl w:val="0"/>
                <w:numId w:val="6"/>
              </w:numPr>
              <w:ind w:left="311" w:hanging="284"/>
              <w:rPr>
                <w:color w:val="auto"/>
                <w:lang w:val="en-GB"/>
              </w:rPr>
            </w:pPr>
            <w:r w:rsidRPr="003A19F1">
              <w:rPr>
                <w:color w:val="auto"/>
                <w:lang w:val="en-GB"/>
              </w:rPr>
              <w:t>Documented disease progression</w:t>
            </w:r>
          </w:p>
          <w:p w14:paraId="2712A166" w14:textId="77777777" w:rsidR="00943B61" w:rsidRPr="003A19F1" w:rsidRDefault="00943B61" w:rsidP="00943B61">
            <w:pPr>
              <w:pStyle w:val="TableContent"/>
              <w:numPr>
                <w:ilvl w:val="0"/>
                <w:numId w:val="6"/>
              </w:numPr>
              <w:ind w:left="311" w:hanging="284"/>
              <w:rPr>
                <w:color w:val="auto"/>
                <w:lang w:val="en-GB"/>
              </w:rPr>
            </w:pPr>
            <w:r w:rsidRPr="003A19F1">
              <w:rPr>
                <w:color w:val="auto"/>
                <w:lang w:val="en-GB"/>
              </w:rPr>
              <w:t xml:space="preserve">Patients with progression after anthracycline and/or </w:t>
            </w:r>
            <w:proofErr w:type="spellStart"/>
            <w:r w:rsidRPr="003A19F1">
              <w:rPr>
                <w:color w:val="auto"/>
                <w:lang w:val="en-GB"/>
              </w:rPr>
              <w:t>taxane</w:t>
            </w:r>
            <w:proofErr w:type="spellEnd"/>
            <w:r w:rsidRPr="003A19F1">
              <w:rPr>
                <w:color w:val="auto"/>
                <w:lang w:val="en-GB"/>
              </w:rPr>
              <w:t xml:space="preserve"> treatment (palliative or neoadjuvant or adjuvant)</w:t>
            </w:r>
          </w:p>
          <w:p w14:paraId="10C67ABC" w14:textId="77777777" w:rsidR="00943B61" w:rsidRPr="003A19F1" w:rsidRDefault="00943B61" w:rsidP="00943B61">
            <w:pPr>
              <w:pStyle w:val="TableContent"/>
              <w:numPr>
                <w:ilvl w:val="0"/>
                <w:numId w:val="6"/>
              </w:numPr>
              <w:ind w:left="311" w:hanging="284"/>
              <w:rPr>
                <w:color w:val="auto"/>
                <w:lang w:val="en-GB"/>
              </w:rPr>
            </w:pPr>
            <w:r w:rsidRPr="003A19F1">
              <w:rPr>
                <w:color w:val="auto"/>
                <w:lang w:val="en-GB"/>
              </w:rPr>
              <w:t>Life expectancy of at least 12 weeks</w:t>
            </w:r>
          </w:p>
          <w:p w14:paraId="295F2603" w14:textId="77777777" w:rsidR="00943B61" w:rsidRPr="003A19F1" w:rsidRDefault="00943B61" w:rsidP="00943B61">
            <w:pPr>
              <w:pStyle w:val="TableContent"/>
              <w:numPr>
                <w:ilvl w:val="0"/>
                <w:numId w:val="6"/>
              </w:numPr>
              <w:ind w:left="311" w:hanging="284"/>
              <w:rPr>
                <w:color w:val="auto"/>
                <w:lang w:val="en-GB"/>
              </w:rPr>
            </w:pPr>
            <w:r w:rsidRPr="003A19F1">
              <w:rPr>
                <w:color w:val="auto"/>
                <w:lang w:val="en-GB"/>
              </w:rPr>
              <w:t>Performance status 0-2</w:t>
            </w:r>
          </w:p>
          <w:p w14:paraId="4241FEE8" w14:textId="77777777" w:rsidR="00943B61" w:rsidRPr="003A19F1" w:rsidRDefault="00943B61" w:rsidP="00943B61">
            <w:pPr>
              <w:pStyle w:val="TableContent"/>
              <w:numPr>
                <w:ilvl w:val="0"/>
                <w:numId w:val="6"/>
              </w:numPr>
              <w:ind w:left="311" w:hanging="284"/>
              <w:rPr>
                <w:color w:val="auto"/>
                <w:lang w:val="en-GB"/>
              </w:rPr>
            </w:pPr>
            <w:r w:rsidRPr="003A19F1">
              <w:rPr>
                <w:color w:val="auto"/>
                <w:lang w:val="en-GB"/>
              </w:rPr>
              <w:t xml:space="preserve">Adequate </w:t>
            </w:r>
            <w:proofErr w:type="spellStart"/>
            <w:r w:rsidRPr="003A19F1">
              <w:rPr>
                <w:color w:val="auto"/>
                <w:lang w:val="en-GB"/>
              </w:rPr>
              <w:t>hematology</w:t>
            </w:r>
            <w:proofErr w:type="spellEnd"/>
            <w:r w:rsidRPr="003A19F1">
              <w:rPr>
                <w:color w:val="auto"/>
                <w:lang w:val="en-GB"/>
              </w:rPr>
              <w:t>, liver and renal function:</w:t>
            </w:r>
          </w:p>
          <w:p w14:paraId="78DCDE7F" w14:textId="77777777" w:rsidR="00943B61" w:rsidRPr="003A19F1" w:rsidRDefault="00943B61" w:rsidP="00943B61">
            <w:pPr>
              <w:pStyle w:val="TableContent"/>
              <w:numPr>
                <w:ilvl w:val="1"/>
                <w:numId w:val="6"/>
              </w:numPr>
              <w:ind w:left="594" w:hanging="283"/>
              <w:rPr>
                <w:b/>
                <w:bCs/>
                <w:color w:val="auto"/>
                <w:lang w:val="en-GB"/>
              </w:rPr>
            </w:pPr>
            <w:r w:rsidRPr="003A19F1">
              <w:rPr>
                <w:b/>
                <w:bCs/>
                <w:color w:val="auto"/>
                <w:lang w:val="en-GB"/>
              </w:rPr>
              <w:t xml:space="preserve">Hematologic: </w:t>
            </w:r>
          </w:p>
          <w:p w14:paraId="4C50B4A2" w14:textId="77777777" w:rsidR="00943B61" w:rsidRPr="003A19F1" w:rsidRDefault="00943B61" w:rsidP="00943B61">
            <w:pPr>
              <w:pStyle w:val="TableContent"/>
              <w:numPr>
                <w:ilvl w:val="2"/>
                <w:numId w:val="6"/>
              </w:numPr>
              <w:ind w:left="878" w:hanging="284"/>
              <w:rPr>
                <w:color w:val="auto"/>
                <w:lang w:val="en-GB"/>
              </w:rPr>
            </w:pPr>
            <w:r w:rsidRPr="003A19F1">
              <w:rPr>
                <w:color w:val="auto"/>
                <w:lang w:val="en-GB"/>
              </w:rPr>
              <w:t>ANC (absolute neutrophil count) ≥ 1.5 x 109/L</w:t>
            </w:r>
          </w:p>
          <w:p w14:paraId="4F2E867D" w14:textId="77777777" w:rsidR="00943B61" w:rsidRPr="003A19F1" w:rsidRDefault="00943B61" w:rsidP="00943B61">
            <w:pPr>
              <w:pStyle w:val="TableContent"/>
              <w:numPr>
                <w:ilvl w:val="2"/>
                <w:numId w:val="6"/>
              </w:numPr>
              <w:ind w:left="878" w:hanging="284"/>
              <w:rPr>
                <w:color w:val="auto"/>
                <w:lang w:val="en-GB"/>
              </w:rPr>
            </w:pPr>
            <w:proofErr w:type="spellStart"/>
            <w:r w:rsidRPr="003A19F1">
              <w:rPr>
                <w:color w:val="auto"/>
                <w:lang w:val="en-GB"/>
              </w:rPr>
              <w:t>Hemoglobin</w:t>
            </w:r>
            <w:proofErr w:type="spellEnd"/>
            <w:r w:rsidRPr="003A19F1">
              <w:rPr>
                <w:color w:val="auto"/>
                <w:lang w:val="en-GB"/>
              </w:rPr>
              <w:t xml:space="preserve"> ≥ 9 g/dL</w:t>
            </w:r>
          </w:p>
          <w:p w14:paraId="46EA48DE" w14:textId="77777777" w:rsidR="00943B61" w:rsidRPr="003A19F1" w:rsidRDefault="00943B61" w:rsidP="00943B61">
            <w:pPr>
              <w:pStyle w:val="TableContent"/>
              <w:numPr>
                <w:ilvl w:val="2"/>
                <w:numId w:val="6"/>
              </w:numPr>
              <w:ind w:left="878" w:hanging="284"/>
              <w:rPr>
                <w:color w:val="auto"/>
                <w:lang w:val="en-GB"/>
              </w:rPr>
            </w:pPr>
            <w:r w:rsidRPr="003A19F1">
              <w:rPr>
                <w:color w:val="auto"/>
                <w:lang w:val="en-GB"/>
              </w:rPr>
              <w:t>Platelets ≥ 100 x 109/L</w:t>
            </w:r>
          </w:p>
          <w:p w14:paraId="24FA5639" w14:textId="77777777" w:rsidR="00943B61" w:rsidRPr="003A19F1" w:rsidRDefault="00943B61" w:rsidP="00943B61">
            <w:pPr>
              <w:pStyle w:val="TableContent"/>
              <w:numPr>
                <w:ilvl w:val="1"/>
                <w:numId w:val="6"/>
              </w:numPr>
              <w:ind w:left="594" w:hanging="283"/>
              <w:rPr>
                <w:b/>
                <w:bCs/>
                <w:color w:val="auto"/>
                <w:lang w:val="en-GB"/>
              </w:rPr>
            </w:pPr>
            <w:r w:rsidRPr="003A19F1">
              <w:rPr>
                <w:b/>
                <w:bCs/>
                <w:color w:val="auto"/>
                <w:lang w:val="en-GB"/>
              </w:rPr>
              <w:t xml:space="preserve">Liver Function: </w:t>
            </w:r>
          </w:p>
          <w:p w14:paraId="32CA9FED" w14:textId="77777777" w:rsidR="00943B61" w:rsidRPr="003A19F1" w:rsidRDefault="00943B61" w:rsidP="00943B61">
            <w:pPr>
              <w:pStyle w:val="TableContent"/>
              <w:numPr>
                <w:ilvl w:val="2"/>
                <w:numId w:val="6"/>
              </w:numPr>
              <w:ind w:left="878" w:hanging="284"/>
              <w:rPr>
                <w:color w:val="auto"/>
                <w:lang w:val="en-GB"/>
              </w:rPr>
            </w:pPr>
            <w:r w:rsidRPr="003A19F1">
              <w:rPr>
                <w:color w:val="auto"/>
                <w:lang w:val="en-GB"/>
              </w:rPr>
              <w:t>Albumin ≥ 2.5 g/dL</w:t>
            </w:r>
          </w:p>
          <w:p w14:paraId="22660B0F" w14:textId="77777777" w:rsidR="00943B61" w:rsidRPr="003A19F1" w:rsidRDefault="00943B61" w:rsidP="00943B61">
            <w:pPr>
              <w:pStyle w:val="TableContent"/>
              <w:numPr>
                <w:ilvl w:val="2"/>
                <w:numId w:val="6"/>
              </w:numPr>
              <w:ind w:left="878" w:hanging="284"/>
              <w:rPr>
                <w:color w:val="auto"/>
                <w:lang w:val="en-GB"/>
              </w:rPr>
            </w:pPr>
            <w:r w:rsidRPr="003A19F1">
              <w:rPr>
                <w:color w:val="auto"/>
                <w:lang w:val="en-GB"/>
              </w:rPr>
              <w:t>Serum bilirubin ≤ 2 mg/dL</w:t>
            </w:r>
          </w:p>
          <w:p w14:paraId="3FC30E9F" w14:textId="77777777" w:rsidR="00943B61" w:rsidRPr="003A19F1" w:rsidRDefault="00943B61" w:rsidP="00943B61">
            <w:pPr>
              <w:pStyle w:val="TableContent"/>
              <w:numPr>
                <w:ilvl w:val="2"/>
                <w:numId w:val="6"/>
              </w:numPr>
              <w:ind w:left="878" w:hanging="284"/>
              <w:rPr>
                <w:color w:val="auto"/>
                <w:lang w:val="en-GB"/>
              </w:rPr>
            </w:pPr>
            <w:r w:rsidRPr="003A19F1">
              <w:rPr>
                <w:color w:val="auto"/>
                <w:lang w:val="en-GB"/>
              </w:rPr>
              <w:t>AST and ALT ≤ 3 x ULN without liver metastases</w:t>
            </w:r>
            <w:r w:rsidRPr="003A19F1">
              <w:rPr>
                <w:color w:val="auto"/>
                <w:lang w:val="en-GB"/>
              </w:rPr>
              <w:br/>
              <w:t>≤ 5 x ULN if documented liver metastases</w:t>
            </w:r>
          </w:p>
          <w:p w14:paraId="3914D13D" w14:textId="77777777" w:rsidR="00943B61" w:rsidRPr="003A19F1" w:rsidRDefault="00943B61" w:rsidP="00943B61">
            <w:pPr>
              <w:pStyle w:val="TableContent"/>
              <w:numPr>
                <w:ilvl w:val="1"/>
                <w:numId w:val="6"/>
              </w:numPr>
              <w:ind w:left="594" w:hanging="283"/>
              <w:rPr>
                <w:b/>
                <w:bCs/>
                <w:color w:val="auto"/>
                <w:lang w:val="en-GB"/>
              </w:rPr>
            </w:pPr>
            <w:r w:rsidRPr="003A19F1">
              <w:rPr>
                <w:b/>
                <w:bCs/>
                <w:color w:val="auto"/>
                <w:lang w:val="en-GB"/>
              </w:rPr>
              <w:t>Renal Function:</w:t>
            </w:r>
          </w:p>
          <w:p w14:paraId="6EABE514" w14:textId="77777777" w:rsidR="00943B61" w:rsidRPr="003A19F1" w:rsidRDefault="00943B61" w:rsidP="00943B61">
            <w:pPr>
              <w:pStyle w:val="TableContent"/>
              <w:numPr>
                <w:ilvl w:val="2"/>
                <w:numId w:val="6"/>
              </w:numPr>
              <w:ind w:left="878" w:hanging="284"/>
              <w:rPr>
                <w:lang w:val="en-GB"/>
              </w:rPr>
            </w:pPr>
            <w:r w:rsidRPr="003A19F1">
              <w:rPr>
                <w:color w:val="auto"/>
                <w:lang w:val="en-GB"/>
              </w:rPr>
              <w:t>Serum Creatinine ≤ 1.5 mg/dL OR Calculated Creatinine Clearance ≥ 40 mL/min</w:t>
            </w:r>
          </w:p>
        </w:tc>
      </w:tr>
      <w:tr w:rsidR="00943B61" w:rsidRPr="00B33200" w14:paraId="7B96F273" w14:textId="77777777" w:rsidTr="007B6DEB">
        <w:tc>
          <w:tcPr>
            <w:tcW w:w="9056" w:type="dxa"/>
          </w:tcPr>
          <w:p w14:paraId="74946295" w14:textId="77777777" w:rsidR="00943B61" w:rsidRPr="003A19F1" w:rsidRDefault="00943B61" w:rsidP="00943B61">
            <w:pPr>
              <w:pStyle w:val="TableContent"/>
              <w:rPr>
                <w:b/>
                <w:bCs/>
                <w:lang w:val="en-GB"/>
              </w:rPr>
            </w:pPr>
            <w:bookmarkStart w:id="0" w:name="_Toc353459293"/>
            <w:r w:rsidRPr="003A19F1">
              <w:rPr>
                <w:rFonts w:eastAsia="MS Mincho"/>
                <w:b/>
                <w:bCs/>
                <w:lang w:val="en-GB"/>
              </w:rPr>
              <w:t>Exclusion criteria</w:t>
            </w:r>
            <w:bookmarkEnd w:id="0"/>
          </w:p>
        </w:tc>
      </w:tr>
      <w:tr w:rsidR="00943B61" w:rsidRPr="007B6DEB" w14:paraId="6E797D3A" w14:textId="77777777" w:rsidTr="007B6DEB">
        <w:tc>
          <w:tcPr>
            <w:tcW w:w="9056" w:type="dxa"/>
          </w:tcPr>
          <w:p w14:paraId="68E01D96" w14:textId="77777777" w:rsidR="00943B61" w:rsidRPr="003A19F1" w:rsidRDefault="00943B61" w:rsidP="00943B61">
            <w:pPr>
              <w:pStyle w:val="TableContent"/>
              <w:numPr>
                <w:ilvl w:val="0"/>
                <w:numId w:val="7"/>
              </w:numPr>
              <w:ind w:left="311" w:hanging="284"/>
              <w:rPr>
                <w:lang w:val="en-GB"/>
              </w:rPr>
            </w:pPr>
            <w:r w:rsidRPr="003A19F1">
              <w:rPr>
                <w:lang w:val="en-GB"/>
              </w:rPr>
              <w:t>Pregnant or lactating women</w:t>
            </w:r>
          </w:p>
          <w:p w14:paraId="78DBEE69" w14:textId="77777777" w:rsidR="00943B61" w:rsidRPr="003A19F1" w:rsidRDefault="00943B61" w:rsidP="00943B61">
            <w:pPr>
              <w:pStyle w:val="TableContent"/>
              <w:numPr>
                <w:ilvl w:val="0"/>
                <w:numId w:val="7"/>
              </w:numPr>
              <w:ind w:left="311" w:hanging="284"/>
              <w:rPr>
                <w:lang w:val="en-GB"/>
              </w:rPr>
            </w:pPr>
            <w:r w:rsidRPr="003A19F1">
              <w:rPr>
                <w:lang w:val="en-GB"/>
              </w:rPr>
              <w:t>Serious medical or psychiatric disorders that would interfere with the patient’s safety or informed consent</w:t>
            </w:r>
          </w:p>
          <w:p w14:paraId="28563A11" w14:textId="77777777" w:rsidR="00943B61" w:rsidRPr="003A19F1" w:rsidRDefault="00943B61" w:rsidP="00943B61">
            <w:pPr>
              <w:pStyle w:val="TableContent"/>
              <w:numPr>
                <w:ilvl w:val="0"/>
                <w:numId w:val="7"/>
              </w:numPr>
              <w:ind w:left="311" w:hanging="284"/>
              <w:rPr>
                <w:lang w:val="en-GB"/>
              </w:rPr>
            </w:pPr>
            <w:r w:rsidRPr="003A19F1">
              <w:rPr>
                <w:lang w:val="en-GB"/>
              </w:rPr>
              <w:t>Radiation of the target lesion within the last 4 weeks</w:t>
            </w:r>
          </w:p>
          <w:p w14:paraId="0EFE64D6" w14:textId="77777777" w:rsidR="00943B61" w:rsidRPr="003A19F1" w:rsidRDefault="00943B61" w:rsidP="00943B61">
            <w:pPr>
              <w:pStyle w:val="TableContent"/>
              <w:numPr>
                <w:ilvl w:val="0"/>
                <w:numId w:val="7"/>
              </w:numPr>
              <w:ind w:left="311" w:hanging="284"/>
              <w:rPr>
                <w:lang w:val="en-GB"/>
              </w:rPr>
            </w:pPr>
            <w:r w:rsidRPr="003A19F1">
              <w:rPr>
                <w:lang w:val="en-GB"/>
              </w:rPr>
              <w:t xml:space="preserve">Active bacterial, </w:t>
            </w:r>
            <w:proofErr w:type="gramStart"/>
            <w:r w:rsidRPr="003A19F1">
              <w:rPr>
                <w:lang w:val="en-GB"/>
              </w:rPr>
              <w:t>viral</w:t>
            </w:r>
            <w:proofErr w:type="gramEnd"/>
            <w:r w:rsidRPr="003A19F1">
              <w:rPr>
                <w:lang w:val="en-GB"/>
              </w:rPr>
              <w:t xml:space="preserve"> or fungal infection</w:t>
            </w:r>
          </w:p>
          <w:p w14:paraId="506F243B" w14:textId="77777777" w:rsidR="00943B61" w:rsidRPr="003A19F1" w:rsidRDefault="00943B61" w:rsidP="00943B61">
            <w:pPr>
              <w:pStyle w:val="TableContent"/>
              <w:numPr>
                <w:ilvl w:val="0"/>
                <w:numId w:val="7"/>
              </w:numPr>
              <w:ind w:left="311" w:hanging="284"/>
              <w:rPr>
                <w:lang w:val="en-GB"/>
              </w:rPr>
            </w:pPr>
            <w:r w:rsidRPr="003A19F1">
              <w:rPr>
                <w:lang w:val="en-GB"/>
              </w:rPr>
              <w:t>Patients with clinically apparent brain metastases</w:t>
            </w:r>
          </w:p>
          <w:p w14:paraId="52CDD801" w14:textId="77777777" w:rsidR="00943B61" w:rsidRPr="003A19F1" w:rsidRDefault="00943B61" w:rsidP="00943B61">
            <w:pPr>
              <w:pStyle w:val="TableContent"/>
              <w:numPr>
                <w:ilvl w:val="0"/>
                <w:numId w:val="7"/>
              </w:numPr>
              <w:ind w:left="311" w:hanging="284"/>
              <w:rPr>
                <w:lang w:val="en-GB"/>
              </w:rPr>
            </w:pPr>
            <w:r w:rsidRPr="003A19F1">
              <w:rPr>
                <w:lang w:val="en-GB"/>
              </w:rPr>
              <w:t>Known Positivity for HIV</w:t>
            </w:r>
          </w:p>
          <w:p w14:paraId="3DE47FC5" w14:textId="77777777" w:rsidR="00943B61" w:rsidRPr="003A19F1" w:rsidRDefault="00943B61" w:rsidP="00943B61">
            <w:pPr>
              <w:pStyle w:val="TableContent"/>
              <w:numPr>
                <w:ilvl w:val="0"/>
                <w:numId w:val="7"/>
              </w:numPr>
              <w:ind w:left="311" w:hanging="284"/>
              <w:rPr>
                <w:lang w:val="en-GB"/>
              </w:rPr>
            </w:pPr>
            <w:r w:rsidRPr="003A19F1">
              <w:rPr>
                <w:lang w:val="en-GB"/>
              </w:rPr>
              <w:t>Positivity for Hepatitis B or C</w:t>
            </w:r>
          </w:p>
          <w:p w14:paraId="02068781" w14:textId="77777777" w:rsidR="00943B61" w:rsidRPr="003A19F1" w:rsidRDefault="00943B61" w:rsidP="00943B61">
            <w:pPr>
              <w:pStyle w:val="TableContent"/>
              <w:numPr>
                <w:ilvl w:val="0"/>
                <w:numId w:val="7"/>
              </w:numPr>
              <w:ind w:left="311" w:hanging="284"/>
              <w:rPr>
                <w:lang w:val="en-GB"/>
              </w:rPr>
            </w:pPr>
            <w:r w:rsidRPr="003A19F1">
              <w:rPr>
                <w:lang w:val="en-GB"/>
              </w:rPr>
              <w:t>History of other malignancy; patients who have been disease-free for 5 years or patients with a history of completely resected non-melanoma skin cancer or successfully treated in situ carcinoma are eligible.</w:t>
            </w:r>
          </w:p>
          <w:p w14:paraId="4F8918A9" w14:textId="77777777" w:rsidR="00943B61" w:rsidRPr="003A19F1" w:rsidRDefault="00943B61" w:rsidP="00943B61">
            <w:pPr>
              <w:pStyle w:val="TableContent"/>
              <w:numPr>
                <w:ilvl w:val="0"/>
                <w:numId w:val="7"/>
              </w:numPr>
              <w:ind w:left="311" w:hanging="284"/>
              <w:rPr>
                <w:lang w:val="en-GB"/>
              </w:rPr>
            </w:pPr>
            <w:r w:rsidRPr="003A19F1">
              <w:rPr>
                <w:lang w:val="en-GB"/>
              </w:rPr>
              <w:t xml:space="preserve">Concurrent cancer therapy (chemotherapy, immunotherapy, antihormonal or biologic therapy) or concurrent treatment with an investigational drug </w:t>
            </w:r>
          </w:p>
          <w:p w14:paraId="5983D919" w14:textId="77777777" w:rsidR="00943B61" w:rsidRPr="003A19F1" w:rsidRDefault="00943B61" w:rsidP="00943B61">
            <w:pPr>
              <w:pStyle w:val="TableContent"/>
              <w:numPr>
                <w:ilvl w:val="0"/>
                <w:numId w:val="7"/>
              </w:numPr>
              <w:ind w:left="311" w:hanging="284"/>
              <w:rPr>
                <w:lang w:val="en-GB"/>
              </w:rPr>
            </w:pPr>
            <w:r w:rsidRPr="003A19F1">
              <w:rPr>
                <w:lang w:val="en-GB"/>
              </w:rPr>
              <w:t xml:space="preserve">Antihormonal therapy must have been discontinued prior to start of treatment (if </w:t>
            </w:r>
            <w:proofErr w:type="gramStart"/>
            <w:r w:rsidRPr="003A19F1">
              <w:rPr>
                <w:lang w:val="en-GB"/>
              </w:rPr>
              <w:t>possible</w:t>
            </w:r>
            <w:proofErr w:type="gramEnd"/>
            <w:r w:rsidRPr="003A19F1">
              <w:rPr>
                <w:lang w:val="en-GB"/>
              </w:rPr>
              <w:t xml:space="preserve"> at least 3 weeks before)</w:t>
            </w:r>
          </w:p>
          <w:p w14:paraId="322C6C6C" w14:textId="77777777" w:rsidR="00943B61" w:rsidRPr="003A19F1" w:rsidRDefault="00943B61" w:rsidP="00943B61">
            <w:pPr>
              <w:pStyle w:val="TableContent"/>
              <w:numPr>
                <w:ilvl w:val="0"/>
                <w:numId w:val="7"/>
              </w:numPr>
              <w:ind w:left="311" w:hanging="284"/>
              <w:rPr>
                <w:lang w:val="en-GB"/>
              </w:rPr>
            </w:pPr>
            <w:r w:rsidRPr="003A19F1">
              <w:rPr>
                <w:lang w:val="en-GB"/>
              </w:rPr>
              <w:t xml:space="preserve">Known hypersensitivity to the study drugs capecitabine and </w:t>
            </w:r>
            <w:proofErr w:type="spellStart"/>
            <w:r w:rsidRPr="003A19F1">
              <w:rPr>
                <w:lang w:val="en-GB"/>
              </w:rPr>
              <w:t>bendamustine</w:t>
            </w:r>
            <w:proofErr w:type="spellEnd"/>
            <w:r w:rsidRPr="003A19F1">
              <w:rPr>
                <w:lang w:val="en-GB"/>
              </w:rPr>
              <w:t xml:space="preserve"> or their excipients</w:t>
            </w:r>
          </w:p>
          <w:p w14:paraId="6D484AFE" w14:textId="77777777" w:rsidR="00943B61" w:rsidRPr="003A19F1" w:rsidRDefault="00943B61" w:rsidP="00943B61">
            <w:pPr>
              <w:pStyle w:val="TableContent"/>
              <w:numPr>
                <w:ilvl w:val="0"/>
                <w:numId w:val="7"/>
              </w:numPr>
              <w:ind w:left="311" w:hanging="284"/>
              <w:rPr>
                <w:lang w:val="en-GB"/>
              </w:rPr>
            </w:pPr>
            <w:proofErr w:type="spellStart"/>
            <w:r w:rsidRPr="003A19F1">
              <w:rPr>
                <w:lang w:val="en-GB"/>
              </w:rPr>
              <w:t>Pretreatment</w:t>
            </w:r>
            <w:proofErr w:type="spellEnd"/>
            <w:r w:rsidRPr="003A19F1">
              <w:rPr>
                <w:lang w:val="en-GB"/>
              </w:rPr>
              <w:t xml:space="preserve"> with capecitabine (</w:t>
            </w:r>
            <w:proofErr w:type="spellStart"/>
            <w:r w:rsidRPr="003A19F1">
              <w:rPr>
                <w:lang w:val="en-GB"/>
              </w:rPr>
              <w:t>pretreatment</w:t>
            </w:r>
            <w:proofErr w:type="spellEnd"/>
            <w:r w:rsidRPr="003A19F1">
              <w:rPr>
                <w:lang w:val="en-GB"/>
              </w:rPr>
              <w:t xml:space="preserve"> with </w:t>
            </w:r>
            <w:proofErr w:type="spellStart"/>
            <w:r w:rsidRPr="003A19F1">
              <w:rPr>
                <w:lang w:val="en-GB"/>
              </w:rPr>
              <w:t>infusional</w:t>
            </w:r>
            <w:proofErr w:type="spellEnd"/>
            <w:r w:rsidRPr="003A19F1">
              <w:rPr>
                <w:lang w:val="en-GB"/>
              </w:rPr>
              <w:t xml:space="preserve"> 5-FU in the adjuvant or neoadjuvant setting is allowed) or </w:t>
            </w:r>
            <w:proofErr w:type="spellStart"/>
            <w:r w:rsidRPr="003A19F1">
              <w:rPr>
                <w:lang w:val="en-GB"/>
              </w:rPr>
              <w:t>bendamustine</w:t>
            </w:r>
            <w:proofErr w:type="spellEnd"/>
          </w:p>
          <w:p w14:paraId="0971D15C" w14:textId="77777777" w:rsidR="00943B61" w:rsidRPr="003A19F1" w:rsidRDefault="00943B61" w:rsidP="00943B61">
            <w:pPr>
              <w:pStyle w:val="TableContent"/>
              <w:numPr>
                <w:ilvl w:val="0"/>
                <w:numId w:val="7"/>
              </w:numPr>
              <w:ind w:left="311" w:hanging="284"/>
              <w:rPr>
                <w:lang w:val="en-GB"/>
              </w:rPr>
            </w:pPr>
            <w:r w:rsidRPr="003A19F1">
              <w:rPr>
                <w:lang w:val="en-GB"/>
              </w:rPr>
              <w:t xml:space="preserve">Treatment with </w:t>
            </w:r>
            <w:proofErr w:type="spellStart"/>
            <w:r w:rsidRPr="003A19F1">
              <w:rPr>
                <w:lang w:val="en-GB"/>
              </w:rPr>
              <w:t>sorivudine</w:t>
            </w:r>
            <w:proofErr w:type="spellEnd"/>
            <w:r w:rsidRPr="003A19F1">
              <w:rPr>
                <w:lang w:val="en-GB"/>
              </w:rPr>
              <w:t xml:space="preserve"> or derivates e.g. </w:t>
            </w:r>
            <w:proofErr w:type="spellStart"/>
            <w:r w:rsidRPr="003A19F1">
              <w:rPr>
                <w:lang w:val="en-GB"/>
              </w:rPr>
              <w:t>brivudin</w:t>
            </w:r>
            <w:proofErr w:type="spellEnd"/>
            <w:r w:rsidRPr="003A19F1">
              <w:rPr>
                <w:lang w:val="en-GB"/>
              </w:rPr>
              <w:t xml:space="preserve"> (</w:t>
            </w:r>
            <w:proofErr w:type="spellStart"/>
            <w:r w:rsidRPr="003A19F1">
              <w:rPr>
                <w:lang w:val="en-GB"/>
              </w:rPr>
              <w:t>Mevir</w:t>
            </w:r>
            <w:proofErr w:type="spellEnd"/>
            <w:r w:rsidRPr="003A19F1">
              <w:rPr>
                <w:lang w:val="en-GB"/>
              </w:rPr>
              <w:t>©) within the last 4 weeks before and during study treatment with capecitabine</w:t>
            </w:r>
          </w:p>
        </w:tc>
      </w:tr>
    </w:tbl>
    <w:p w14:paraId="24EB54CC" w14:textId="77777777" w:rsidR="00943B61" w:rsidRPr="00B33200" w:rsidRDefault="00943B61" w:rsidP="00943B61">
      <w:pPr>
        <w:pStyle w:val="FigureandTableHeader"/>
      </w:pPr>
      <w:r w:rsidRPr="00B33200">
        <w:lastRenderedPageBreak/>
        <w:t>Table S2: Drug exposure, Number of Cycles, and Dose intensity</w:t>
      </w:r>
    </w:p>
    <w:tbl>
      <w:tblPr>
        <w:tblStyle w:val="Tabellenraster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1985"/>
      </w:tblGrid>
      <w:tr w:rsidR="00943B61" w:rsidRPr="00B33200" w14:paraId="12560611" w14:textId="77777777" w:rsidTr="0029110E"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7320E78E" w14:textId="77777777" w:rsidR="00943B61" w:rsidRPr="003A19F1" w:rsidRDefault="00943B61" w:rsidP="0029110E">
            <w:pPr>
              <w:pStyle w:val="TableContent"/>
              <w:rPr>
                <w:b/>
                <w:bCs/>
                <w:lang w:val="en-GB"/>
              </w:rPr>
            </w:pPr>
            <w:r w:rsidRPr="003A19F1">
              <w:rPr>
                <w:b/>
                <w:bCs/>
                <w:lang w:val="en-GB"/>
              </w:rPr>
              <w:t>Patient exposure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0601D6F" w14:textId="77777777" w:rsidR="00943B61" w:rsidRPr="003A19F1" w:rsidRDefault="00943B61" w:rsidP="0029110E">
            <w:pPr>
              <w:pStyle w:val="TableContent"/>
              <w:rPr>
                <w:b/>
                <w:bCs/>
                <w:lang w:val="en-GB"/>
              </w:rPr>
            </w:pPr>
            <w:r w:rsidRPr="003A19F1">
              <w:rPr>
                <w:b/>
                <w:bCs/>
                <w:lang w:val="en-GB"/>
              </w:rPr>
              <w:t>N=40</w:t>
            </w:r>
          </w:p>
        </w:tc>
      </w:tr>
      <w:tr w:rsidR="00943B61" w:rsidRPr="00B33200" w14:paraId="4715E7DB" w14:textId="77777777" w:rsidTr="0029110E">
        <w:tc>
          <w:tcPr>
            <w:tcW w:w="6941" w:type="dxa"/>
            <w:tcBorders>
              <w:top w:val="single" w:sz="4" w:space="0" w:color="auto"/>
            </w:tcBorders>
          </w:tcPr>
          <w:p w14:paraId="09336C62" w14:textId="77777777" w:rsidR="00943B61" w:rsidRPr="003A19F1" w:rsidRDefault="00943B61" w:rsidP="0029110E">
            <w:pPr>
              <w:pStyle w:val="TableContent"/>
              <w:rPr>
                <w:lang w:val="en-GB"/>
              </w:rPr>
            </w:pPr>
            <w:r w:rsidRPr="003A19F1">
              <w:rPr>
                <w:lang w:val="en-GB"/>
              </w:rPr>
              <w:t>Median number of treatment cycles (range)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4D1938B" w14:textId="77777777" w:rsidR="00943B61" w:rsidRPr="003A19F1" w:rsidRDefault="00943B61" w:rsidP="0029110E">
            <w:pPr>
              <w:pStyle w:val="TableContent"/>
              <w:rPr>
                <w:lang w:val="en-GB"/>
              </w:rPr>
            </w:pPr>
            <w:r w:rsidRPr="003A19F1">
              <w:rPr>
                <w:lang w:val="en-GB"/>
              </w:rPr>
              <w:t>8 (1-57)</w:t>
            </w:r>
          </w:p>
        </w:tc>
      </w:tr>
      <w:tr w:rsidR="00943B61" w:rsidRPr="00B33200" w14:paraId="4636AB33" w14:textId="77777777" w:rsidTr="0029110E">
        <w:tc>
          <w:tcPr>
            <w:tcW w:w="6941" w:type="dxa"/>
            <w:tcBorders>
              <w:bottom w:val="single" w:sz="4" w:space="0" w:color="auto"/>
            </w:tcBorders>
          </w:tcPr>
          <w:p w14:paraId="2E6C846B" w14:textId="45CCA67C" w:rsidR="00943B61" w:rsidRPr="003A19F1" w:rsidRDefault="00943B61" w:rsidP="0029110E">
            <w:pPr>
              <w:pStyle w:val="TableContent"/>
              <w:rPr>
                <w:lang w:val="en-GB"/>
              </w:rPr>
            </w:pPr>
            <w:r w:rsidRPr="003A19F1">
              <w:rPr>
                <w:lang w:val="en-GB"/>
              </w:rPr>
              <w:t xml:space="preserve">Number of patients with dose reduction, </w:t>
            </w:r>
            <w:r w:rsidR="00E83C64">
              <w:rPr>
                <w:lang w:val="en-GB"/>
              </w:rPr>
              <w:t>n (%)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420B7C5" w14:textId="77777777" w:rsidR="00943B61" w:rsidRPr="003A19F1" w:rsidRDefault="00943B61" w:rsidP="0029110E">
            <w:pPr>
              <w:pStyle w:val="TableContent"/>
              <w:rPr>
                <w:lang w:val="en-GB"/>
              </w:rPr>
            </w:pPr>
            <w:r w:rsidRPr="003A19F1">
              <w:rPr>
                <w:lang w:val="en-GB"/>
              </w:rPr>
              <w:t>20 (50%)</w:t>
            </w:r>
          </w:p>
        </w:tc>
      </w:tr>
      <w:tr w:rsidR="00943B61" w:rsidRPr="00B33200" w14:paraId="55CB5FE3" w14:textId="77777777" w:rsidTr="0029110E"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3A52AAEE" w14:textId="77777777" w:rsidR="00943B61" w:rsidRPr="003A19F1" w:rsidRDefault="00943B61" w:rsidP="0029110E">
            <w:pPr>
              <w:pStyle w:val="TableContent"/>
              <w:rPr>
                <w:b/>
                <w:bCs/>
                <w:lang w:val="en-GB"/>
              </w:rPr>
            </w:pPr>
            <w:proofErr w:type="spellStart"/>
            <w:r w:rsidRPr="003A19F1">
              <w:rPr>
                <w:b/>
                <w:bCs/>
                <w:lang w:val="en-GB"/>
              </w:rPr>
              <w:t>Bendamustine</w:t>
            </w:r>
            <w:proofErr w:type="spellEnd"/>
            <w:r w:rsidRPr="003A19F1">
              <w:rPr>
                <w:b/>
                <w:bCs/>
                <w:lang w:val="en-GB"/>
              </w:rPr>
              <w:t>/capecitabine combination therapy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074396A" w14:textId="77777777" w:rsidR="00943B61" w:rsidRPr="003A19F1" w:rsidRDefault="00943B61" w:rsidP="0029110E">
            <w:pPr>
              <w:pStyle w:val="TableContent"/>
              <w:rPr>
                <w:b/>
                <w:bCs/>
                <w:lang w:val="en-GB"/>
              </w:rPr>
            </w:pPr>
            <w:r w:rsidRPr="003A19F1">
              <w:rPr>
                <w:b/>
                <w:bCs/>
                <w:lang w:val="en-GB"/>
              </w:rPr>
              <w:t>N=40</w:t>
            </w:r>
          </w:p>
        </w:tc>
      </w:tr>
      <w:tr w:rsidR="00943B61" w:rsidRPr="00B33200" w14:paraId="0B99FB19" w14:textId="77777777" w:rsidTr="0029110E">
        <w:tc>
          <w:tcPr>
            <w:tcW w:w="6941" w:type="dxa"/>
            <w:tcBorders>
              <w:top w:val="single" w:sz="4" w:space="0" w:color="auto"/>
            </w:tcBorders>
          </w:tcPr>
          <w:p w14:paraId="762A7322" w14:textId="77777777" w:rsidR="00943B61" w:rsidRPr="003A19F1" w:rsidRDefault="00943B61" w:rsidP="0029110E">
            <w:pPr>
              <w:pStyle w:val="TableContent"/>
              <w:rPr>
                <w:lang w:val="en-GB"/>
              </w:rPr>
            </w:pPr>
            <w:r w:rsidRPr="003A19F1">
              <w:rPr>
                <w:lang w:val="en-GB"/>
              </w:rPr>
              <w:t>Median number of cycles (range)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58FE03A" w14:textId="77777777" w:rsidR="00943B61" w:rsidRPr="003A19F1" w:rsidRDefault="00943B61" w:rsidP="0029110E">
            <w:pPr>
              <w:pStyle w:val="TableContent"/>
              <w:rPr>
                <w:lang w:val="en-GB"/>
              </w:rPr>
            </w:pPr>
            <w:r w:rsidRPr="003A19F1">
              <w:rPr>
                <w:lang w:val="en-GB"/>
              </w:rPr>
              <w:t>8 (1-10*)</w:t>
            </w:r>
          </w:p>
        </w:tc>
      </w:tr>
      <w:tr w:rsidR="00943B61" w:rsidRPr="00B33200" w14:paraId="222385F3" w14:textId="77777777" w:rsidTr="0029110E">
        <w:tc>
          <w:tcPr>
            <w:tcW w:w="6941" w:type="dxa"/>
          </w:tcPr>
          <w:p w14:paraId="2D42A262" w14:textId="77777777" w:rsidR="00943B61" w:rsidRPr="003A19F1" w:rsidRDefault="00943B61" w:rsidP="0029110E">
            <w:pPr>
              <w:pStyle w:val="TableContent"/>
              <w:rPr>
                <w:lang w:val="en-GB"/>
              </w:rPr>
            </w:pPr>
            <w:r w:rsidRPr="003A19F1">
              <w:rPr>
                <w:lang w:val="en-GB"/>
              </w:rPr>
              <w:t xml:space="preserve">Median </w:t>
            </w:r>
            <w:proofErr w:type="spellStart"/>
            <w:r w:rsidRPr="003A19F1">
              <w:rPr>
                <w:lang w:val="en-GB"/>
              </w:rPr>
              <w:t>bendamustine</w:t>
            </w:r>
            <w:proofErr w:type="spellEnd"/>
            <w:r w:rsidRPr="003A19F1">
              <w:rPr>
                <w:lang w:val="en-GB"/>
              </w:rPr>
              <w:t xml:space="preserve"> dose intensity (IQR)</w:t>
            </w:r>
          </w:p>
        </w:tc>
        <w:tc>
          <w:tcPr>
            <w:tcW w:w="1985" w:type="dxa"/>
          </w:tcPr>
          <w:p w14:paraId="705C5B32" w14:textId="77777777" w:rsidR="00943B61" w:rsidRPr="003A19F1" w:rsidRDefault="00943B61" w:rsidP="0029110E">
            <w:pPr>
              <w:pStyle w:val="TableContent"/>
              <w:rPr>
                <w:lang w:val="en-GB"/>
              </w:rPr>
            </w:pPr>
            <w:r w:rsidRPr="003A19F1">
              <w:rPr>
                <w:lang w:val="en-GB"/>
              </w:rPr>
              <w:t>98% (78%-100%)</w:t>
            </w:r>
          </w:p>
        </w:tc>
      </w:tr>
      <w:tr w:rsidR="00943B61" w:rsidRPr="00B33200" w14:paraId="6D476A5C" w14:textId="77777777" w:rsidTr="0029110E">
        <w:tc>
          <w:tcPr>
            <w:tcW w:w="6941" w:type="dxa"/>
          </w:tcPr>
          <w:p w14:paraId="47D68DA0" w14:textId="77777777" w:rsidR="00943B61" w:rsidRPr="003A19F1" w:rsidRDefault="00943B61" w:rsidP="0029110E">
            <w:pPr>
              <w:pStyle w:val="TableContent"/>
              <w:rPr>
                <w:lang w:val="en-GB"/>
              </w:rPr>
            </w:pPr>
            <w:r w:rsidRPr="003A19F1">
              <w:rPr>
                <w:lang w:val="en-GB"/>
              </w:rPr>
              <w:t>Median capecitabine dose intensity (IQR)</w:t>
            </w:r>
          </w:p>
        </w:tc>
        <w:tc>
          <w:tcPr>
            <w:tcW w:w="1985" w:type="dxa"/>
          </w:tcPr>
          <w:p w14:paraId="0D03FE82" w14:textId="77777777" w:rsidR="00943B61" w:rsidRPr="003A19F1" w:rsidRDefault="00943B61" w:rsidP="0029110E">
            <w:pPr>
              <w:pStyle w:val="TableContent"/>
              <w:rPr>
                <w:lang w:val="en-GB"/>
              </w:rPr>
            </w:pPr>
            <w:r w:rsidRPr="003A19F1">
              <w:rPr>
                <w:lang w:val="en-GB"/>
              </w:rPr>
              <w:t>97% (81%-100%)</w:t>
            </w:r>
          </w:p>
        </w:tc>
      </w:tr>
      <w:tr w:rsidR="00943B61" w:rsidRPr="00B33200" w14:paraId="24F7E723" w14:textId="77777777" w:rsidTr="0029110E">
        <w:tc>
          <w:tcPr>
            <w:tcW w:w="6941" w:type="dxa"/>
          </w:tcPr>
          <w:p w14:paraId="67C840E8" w14:textId="571BB9AA" w:rsidR="00943B61" w:rsidRPr="003A19F1" w:rsidRDefault="00943B61" w:rsidP="0029110E">
            <w:pPr>
              <w:pStyle w:val="TableContent"/>
              <w:rPr>
                <w:lang w:val="en-GB"/>
              </w:rPr>
            </w:pPr>
            <w:r w:rsidRPr="003A19F1">
              <w:rPr>
                <w:lang w:val="en-GB"/>
              </w:rPr>
              <w:t xml:space="preserve">Number of patients with </w:t>
            </w:r>
            <w:proofErr w:type="spellStart"/>
            <w:r w:rsidRPr="003A19F1">
              <w:rPr>
                <w:lang w:val="en-GB"/>
              </w:rPr>
              <w:t>bendamustine</w:t>
            </w:r>
            <w:proofErr w:type="spellEnd"/>
            <w:r w:rsidRPr="003A19F1">
              <w:rPr>
                <w:lang w:val="en-GB"/>
              </w:rPr>
              <w:t xml:space="preserve"> dose reduction, </w:t>
            </w:r>
            <w:r w:rsidR="00E83C64">
              <w:rPr>
                <w:lang w:val="en-GB"/>
              </w:rPr>
              <w:t>n</w:t>
            </w:r>
            <w:r w:rsidRPr="003A19F1">
              <w:rPr>
                <w:lang w:val="en-GB"/>
              </w:rPr>
              <w:t xml:space="preserve"> (%)</w:t>
            </w:r>
          </w:p>
        </w:tc>
        <w:tc>
          <w:tcPr>
            <w:tcW w:w="1985" w:type="dxa"/>
          </w:tcPr>
          <w:p w14:paraId="086EFD4B" w14:textId="77777777" w:rsidR="00943B61" w:rsidRPr="003A19F1" w:rsidRDefault="00943B61" w:rsidP="0029110E">
            <w:pPr>
              <w:pStyle w:val="TableContent"/>
              <w:rPr>
                <w:lang w:val="en-GB"/>
              </w:rPr>
            </w:pPr>
            <w:r w:rsidRPr="003A19F1">
              <w:rPr>
                <w:lang w:val="en-GB"/>
              </w:rPr>
              <w:t>20 (50%)</w:t>
            </w:r>
          </w:p>
        </w:tc>
      </w:tr>
      <w:tr w:rsidR="00943B61" w:rsidRPr="00B33200" w14:paraId="1EF41883" w14:textId="77777777" w:rsidTr="0029110E">
        <w:tc>
          <w:tcPr>
            <w:tcW w:w="6941" w:type="dxa"/>
            <w:tcBorders>
              <w:bottom w:val="single" w:sz="4" w:space="0" w:color="auto"/>
            </w:tcBorders>
          </w:tcPr>
          <w:p w14:paraId="556AE8BB" w14:textId="5DAE87B2" w:rsidR="00943B61" w:rsidRPr="003A19F1" w:rsidRDefault="00943B61" w:rsidP="0029110E">
            <w:pPr>
              <w:pStyle w:val="TableContent"/>
              <w:rPr>
                <w:lang w:val="en-GB"/>
              </w:rPr>
            </w:pPr>
            <w:r w:rsidRPr="003A19F1">
              <w:rPr>
                <w:lang w:val="en-GB"/>
              </w:rPr>
              <w:t xml:space="preserve">Number of patients with capecitabine dose reduction, </w:t>
            </w:r>
            <w:r w:rsidR="00E83C64">
              <w:rPr>
                <w:lang w:val="en-GB"/>
              </w:rPr>
              <w:t>n</w:t>
            </w:r>
            <w:r w:rsidRPr="003A19F1">
              <w:rPr>
                <w:lang w:val="en-GB"/>
              </w:rPr>
              <w:t xml:space="preserve"> (%)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16F1E90" w14:textId="77777777" w:rsidR="00943B61" w:rsidRPr="003A19F1" w:rsidRDefault="00943B61" w:rsidP="0029110E">
            <w:pPr>
              <w:pStyle w:val="TableContent"/>
              <w:rPr>
                <w:lang w:val="en-GB"/>
              </w:rPr>
            </w:pPr>
            <w:r w:rsidRPr="003A19F1">
              <w:rPr>
                <w:lang w:val="en-GB"/>
              </w:rPr>
              <w:t>18 (45%)</w:t>
            </w:r>
          </w:p>
        </w:tc>
      </w:tr>
      <w:tr w:rsidR="00943B61" w:rsidRPr="00B33200" w14:paraId="4346331C" w14:textId="77777777" w:rsidTr="0029110E"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155D14CA" w14:textId="77777777" w:rsidR="00943B61" w:rsidRPr="003A19F1" w:rsidRDefault="00943B61" w:rsidP="0029110E">
            <w:pPr>
              <w:pStyle w:val="TableContent"/>
              <w:rPr>
                <w:b/>
                <w:bCs/>
                <w:lang w:val="en-GB"/>
              </w:rPr>
            </w:pPr>
            <w:r w:rsidRPr="003A19F1">
              <w:rPr>
                <w:b/>
                <w:bCs/>
                <w:lang w:val="en-GB"/>
              </w:rPr>
              <w:t>Capecitabine mono therapy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EF33508" w14:textId="77777777" w:rsidR="00943B61" w:rsidRPr="003A19F1" w:rsidRDefault="00943B61" w:rsidP="0029110E">
            <w:pPr>
              <w:pStyle w:val="TableContent"/>
              <w:rPr>
                <w:b/>
                <w:bCs/>
                <w:lang w:val="en-GB"/>
              </w:rPr>
            </w:pPr>
            <w:r w:rsidRPr="003A19F1">
              <w:rPr>
                <w:b/>
                <w:bCs/>
                <w:lang w:val="en-GB"/>
              </w:rPr>
              <w:t>n=18</w:t>
            </w:r>
          </w:p>
        </w:tc>
      </w:tr>
      <w:tr w:rsidR="00943B61" w:rsidRPr="00B33200" w14:paraId="473F0855" w14:textId="77777777" w:rsidTr="0029110E">
        <w:tc>
          <w:tcPr>
            <w:tcW w:w="6941" w:type="dxa"/>
            <w:tcBorders>
              <w:top w:val="single" w:sz="4" w:space="0" w:color="auto"/>
            </w:tcBorders>
          </w:tcPr>
          <w:p w14:paraId="77238808" w14:textId="77777777" w:rsidR="00943B61" w:rsidRPr="003A19F1" w:rsidRDefault="00943B61" w:rsidP="0029110E">
            <w:pPr>
              <w:pStyle w:val="TableContent"/>
              <w:rPr>
                <w:lang w:val="en-GB"/>
              </w:rPr>
            </w:pPr>
            <w:r w:rsidRPr="003A19F1">
              <w:rPr>
                <w:lang w:val="en-GB"/>
              </w:rPr>
              <w:t>Median number of cycles (range)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9268EBF" w14:textId="77777777" w:rsidR="00943B61" w:rsidRPr="003A19F1" w:rsidRDefault="00943B61" w:rsidP="0029110E">
            <w:pPr>
              <w:pStyle w:val="TableContent"/>
              <w:rPr>
                <w:lang w:val="en-GB"/>
              </w:rPr>
            </w:pPr>
            <w:r w:rsidRPr="003A19F1">
              <w:rPr>
                <w:lang w:val="en-GB"/>
              </w:rPr>
              <w:t>7 (1-49)</w:t>
            </w:r>
          </w:p>
        </w:tc>
      </w:tr>
      <w:tr w:rsidR="00943B61" w:rsidRPr="00B33200" w14:paraId="13AF0515" w14:textId="77777777" w:rsidTr="0029110E">
        <w:tc>
          <w:tcPr>
            <w:tcW w:w="6941" w:type="dxa"/>
          </w:tcPr>
          <w:p w14:paraId="582F81A4" w14:textId="77777777" w:rsidR="00943B61" w:rsidRPr="003A19F1" w:rsidRDefault="00943B61" w:rsidP="0029110E">
            <w:pPr>
              <w:pStyle w:val="TableContent"/>
              <w:rPr>
                <w:lang w:val="en-GB"/>
              </w:rPr>
            </w:pPr>
            <w:r w:rsidRPr="003A19F1">
              <w:rPr>
                <w:lang w:val="en-GB"/>
              </w:rPr>
              <w:t>Median capecitabine dose intensity (IQR)</w:t>
            </w:r>
          </w:p>
        </w:tc>
        <w:tc>
          <w:tcPr>
            <w:tcW w:w="1985" w:type="dxa"/>
          </w:tcPr>
          <w:p w14:paraId="318D4579" w14:textId="77777777" w:rsidR="00943B61" w:rsidRPr="003A19F1" w:rsidRDefault="00943B61" w:rsidP="0029110E">
            <w:pPr>
              <w:pStyle w:val="TableContent"/>
              <w:rPr>
                <w:lang w:val="en-GB"/>
              </w:rPr>
            </w:pPr>
            <w:r w:rsidRPr="003A19F1">
              <w:rPr>
                <w:lang w:val="en-GB"/>
              </w:rPr>
              <w:t>92% (71%-97%)</w:t>
            </w:r>
          </w:p>
        </w:tc>
      </w:tr>
      <w:tr w:rsidR="00943B61" w:rsidRPr="00B33200" w14:paraId="430796B3" w14:textId="77777777" w:rsidTr="0029110E">
        <w:tc>
          <w:tcPr>
            <w:tcW w:w="6941" w:type="dxa"/>
            <w:tcBorders>
              <w:bottom w:val="single" w:sz="4" w:space="0" w:color="auto"/>
            </w:tcBorders>
          </w:tcPr>
          <w:p w14:paraId="3C62AD1A" w14:textId="0B98A8CF" w:rsidR="00943B61" w:rsidRPr="003A19F1" w:rsidRDefault="00943B61" w:rsidP="0029110E">
            <w:pPr>
              <w:pStyle w:val="TableContent"/>
              <w:rPr>
                <w:lang w:val="en-GB"/>
              </w:rPr>
            </w:pPr>
            <w:r w:rsidRPr="003A19F1">
              <w:rPr>
                <w:lang w:val="en-GB"/>
              </w:rPr>
              <w:t xml:space="preserve">Number of patients with capecitabine dose reduction, </w:t>
            </w:r>
            <w:r w:rsidR="00E83C64">
              <w:rPr>
                <w:lang w:val="en-GB"/>
              </w:rPr>
              <w:t>n</w:t>
            </w:r>
            <w:r w:rsidRPr="003A19F1">
              <w:rPr>
                <w:lang w:val="en-GB"/>
              </w:rPr>
              <w:t xml:space="preserve"> (%)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0979A4F" w14:textId="77777777" w:rsidR="00943B61" w:rsidRPr="003A19F1" w:rsidRDefault="00943B61" w:rsidP="0029110E">
            <w:pPr>
              <w:pStyle w:val="TableContent"/>
              <w:rPr>
                <w:lang w:val="en-GB"/>
              </w:rPr>
            </w:pPr>
            <w:r w:rsidRPr="003A19F1">
              <w:rPr>
                <w:lang w:val="en-GB"/>
              </w:rPr>
              <w:t>7 (39%)</w:t>
            </w:r>
          </w:p>
        </w:tc>
      </w:tr>
    </w:tbl>
    <w:p w14:paraId="152D2E3E" w14:textId="77777777" w:rsidR="00943B61" w:rsidRPr="003A19F1" w:rsidRDefault="00943B61" w:rsidP="00943B61">
      <w:pPr>
        <w:pStyle w:val="Beschriftung"/>
        <w:rPr>
          <w:lang w:val="en-GB"/>
        </w:rPr>
      </w:pPr>
      <w:r w:rsidRPr="003A19F1">
        <w:rPr>
          <w:lang w:val="en-GB"/>
        </w:rPr>
        <w:t xml:space="preserve">* Protocol deviation in one patient: 10 </w:t>
      </w:r>
      <w:proofErr w:type="spellStart"/>
      <w:r w:rsidRPr="003A19F1">
        <w:rPr>
          <w:lang w:val="en-GB"/>
        </w:rPr>
        <w:t>bendamustine</w:t>
      </w:r>
      <w:proofErr w:type="spellEnd"/>
      <w:r w:rsidRPr="003A19F1">
        <w:rPr>
          <w:lang w:val="en-GB"/>
        </w:rPr>
        <w:t xml:space="preserve"> cycles were administered by mistake.</w:t>
      </w:r>
    </w:p>
    <w:p w14:paraId="02F3B843" w14:textId="77777777" w:rsidR="00F978CB" w:rsidRPr="00B33200" w:rsidRDefault="00F978CB">
      <w:pPr>
        <w:rPr>
          <w:lang w:val="en-GB"/>
        </w:rPr>
      </w:pPr>
    </w:p>
    <w:p w14:paraId="5AF09B0F" w14:textId="1AECF0C2" w:rsidR="00283AA5" w:rsidRPr="00B33200" w:rsidRDefault="00283AA5" w:rsidP="00283AA5">
      <w:pPr>
        <w:pStyle w:val="FigureandTableHeader"/>
        <w:rPr>
          <w:rFonts w:cstheme="minorHAnsi"/>
        </w:rPr>
      </w:pPr>
      <w:r w:rsidRPr="00B33200">
        <w:t>Table S</w:t>
      </w:r>
      <w:r w:rsidR="004D7EEF">
        <w:t>3</w:t>
      </w:r>
      <w:r w:rsidRPr="00B33200">
        <w:t xml:space="preserve">: Adverse events starting during </w:t>
      </w:r>
      <w:proofErr w:type="spellStart"/>
      <w:r w:rsidRPr="00B33200">
        <w:t>bendamustin</w:t>
      </w:r>
      <w:r w:rsidR="00316229" w:rsidRPr="00DA5462">
        <w:t>e</w:t>
      </w:r>
      <w:proofErr w:type="spellEnd"/>
      <w:r w:rsidR="00755CFD" w:rsidRPr="00B33200">
        <w:t xml:space="preserve"> plus </w:t>
      </w:r>
      <w:r w:rsidRPr="00B33200">
        <w:t>capecitabine combination treatment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1146"/>
        <w:gridCol w:w="23"/>
        <w:gridCol w:w="1123"/>
        <w:gridCol w:w="46"/>
        <w:gridCol w:w="1100"/>
        <w:gridCol w:w="69"/>
        <w:gridCol w:w="1078"/>
        <w:gridCol w:w="92"/>
      </w:tblGrid>
      <w:tr w:rsidR="00283AA5" w:rsidRPr="007B6DEB" w14:paraId="6894E8CA" w14:textId="77777777" w:rsidTr="00F36B24">
        <w:trPr>
          <w:trHeight w:val="30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B79870B" w14:textId="5AB9AE88" w:rsidR="00283AA5" w:rsidRPr="003A19F1" w:rsidRDefault="00604D77" w:rsidP="004F5CEA">
            <w:pPr>
              <w:pStyle w:val="TableContent"/>
              <w:rPr>
                <w:b/>
                <w:bCs/>
                <w:lang w:val="en-GB"/>
              </w:rPr>
            </w:pPr>
            <w:r w:rsidRPr="00B33200">
              <w:rPr>
                <w:b/>
                <w:bCs/>
                <w:lang w:val="en-GB"/>
              </w:rPr>
              <w:t>N=40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03E9480" w14:textId="293D1CF7" w:rsidR="00283AA5" w:rsidRPr="003A19F1" w:rsidRDefault="00283AA5" w:rsidP="004F5CEA">
            <w:pPr>
              <w:pStyle w:val="TableContent"/>
              <w:rPr>
                <w:b/>
                <w:bCs/>
                <w:lang w:val="en-GB"/>
              </w:rPr>
            </w:pPr>
          </w:p>
        </w:tc>
        <w:tc>
          <w:tcPr>
            <w:tcW w:w="4677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BD3D4BB" w14:textId="77777777" w:rsidR="00283AA5" w:rsidRPr="003A19F1" w:rsidRDefault="00283AA5" w:rsidP="004F5CEA">
            <w:pPr>
              <w:pStyle w:val="TableContent"/>
              <w:rPr>
                <w:b/>
                <w:bCs/>
                <w:lang w:val="en-GB"/>
              </w:rPr>
            </w:pPr>
            <w:r w:rsidRPr="003A19F1">
              <w:rPr>
                <w:b/>
                <w:bCs/>
                <w:lang w:val="en-GB"/>
              </w:rPr>
              <w:t>Number of patients with maximal grading</w:t>
            </w:r>
          </w:p>
        </w:tc>
      </w:tr>
      <w:tr w:rsidR="00283AA5" w:rsidRPr="00B33200" w14:paraId="1E8B3880" w14:textId="77777777" w:rsidTr="00F36B24">
        <w:trPr>
          <w:trHeight w:val="30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3B38BF0" w14:textId="77777777" w:rsidR="00283AA5" w:rsidRPr="003A19F1" w:rsidRDefault="00283AA5" w:rsidP="004F5CEA">
            <w:pPr>
              <w:pStyle w:val="TableContent"/>
              <w:rPr>
                <w:b/>
                <w:bCs/>
                <w:lang w:val="en-GB"/>
              </w:rPr>
            </w:pPr>
            <w:r w:rsidRPr="003A19F1">
              <w:rPr>
                <w:b/>
                <w:bCs/>
                <w:lang w:val="en-GB"/>
              </w:rPr>
              <w:t>Non haematological adverse events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A0C4803" w14:textId="77777777" w:rsidR="00283AA5" w:rsidRPr="003A19F1" w:rsidRDefault="00283AA5" w:rsidP="004F5CEA">
            <w:pPr>
              <w:pStyle w:val="TableContent"/>
              <w:rPr>
                <w:b/>
                <w:bCs/>
                <w:lang w:val="en-GB"/>
              </w:rPr>
            </w:pPr>
            <w:r w:rsidRPr="003A19F1">
              <w:rPr>
                <w:b/>
                <w:bCs/>
                <w:lang w:val="en-GB"/>
              </w:rPr>
              <w:t>All grades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4335C0E" w14:textId="77777777" w:rsidR="00283AA5" w:rsidRPr="003A19F1" w:rsidRDefault="00283AA5" w:rsidP="004F5CEA">
            <w:pPr>
              <w:pStyle w:val="TableContent"/>
              <w:rPr>
                <w:b/>
                <w:bCs/>
                <w:lang w:val="en-GB"/>
              </w:rPr>
            </w:pPr>
            <w:r w:rsidRPr="003A19F1">
              <w:rPr>
                <w:b/>
                <w:bCs/>
                <w:lang w:val="en-GB"/>
              </w:rPr>
              <w:t>Grade 2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15F4B12" w14:textId="77777777" w:rsidR="00283AA5" w:rsidRPr="003A19F1" w:rsidRDefault="00283AA5" w:rsidP="004F5CEA">
            <w:pPr>
              <w:pStyle w:val="TableContent"/>
              <w:rPr>
                <w:b/>
                <w:bCs/>
                <w:lang w:val="en-GB"/>
              </w:rPr>
            </w:pPr>
            <w:r w:rsidRPr="003A19F1">
              <w:rPr>
                <w:b/>
                <w:bCs/>
                <w:lang w:val="en-GB"/>
              </w:rPr>
              <w:t>Grade 3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FCFBE0B" w14:textId="77777777" w:rsidR="00283AA5" w:rsidRPr="003A19F1" w:rsidRDefault="00283AA5" w:rsidP="004F5CEA">
            <w:pPr>
              <w:pStyle w:val="TableContent"/>
              <w:rPr>
                <w:b/>
                <w:bCs/>
                <w:lang w:val="en-GB"/>
              </w:rPr>
            </w:pPr>
            <w:r w:rsidRPr="003A19F1">
              <w:rPr>
                <w:b/>
                <w:bCs/>
                <w:lang w:val="en-GB"/>
              </w:rPr>
              <w:t>Grade 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FBA70EE" w14:textId="77777777" w:rsidR="00283AA5" w:rsidRPr="003A19F1" w:rsidRDefault="00283AA5" w:rsidP="004F5CEA">
            <w:pPr>
              <w:pStyle w:val="TableContent"/>
              <w:rPr>
                <w:b/>
                <w:bCs/>
                <w:lang w:val="en-GB"/>
              </w:rPr>
            </w:pPr>
            <w:r w:rsidRPr="003A19F1">
              <w:rPr>
                <w:b/>
                <w:bCs/>
                <w:lang w:val="en-GB"/>
              </w:rPr>
              <w:t>Grade 5</w:t>
            </w:r>
          </w:p>
        </w:tc>
      </w:tr>
      <w:tr w:rsidR="0055163D" w:rsidRPr="00B33200" w14:paraId="3772CE29" w14:textId="77777777" w:rsidTr="00F36B24">
        <w:trPr>
          <w:gridAfter w:val="1"/>
          <w:wAfter w:w="92" w:type="dxa"/>
          <w:trHeight w:val="300"/>
        </w:trPr>
        <w:tc>
          <w:tcPr>
            <w:tcW w:w="368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E033867" w14:textId="3D3F9E0F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Fatigue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C97A035" w14:textId="4C9F885B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29 (73%)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FE9F476" w14:textId="1F3EDBE9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13 (33%)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6D541939" w14:textId="49872CBF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4 (10%)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4E588F0D" w14:textId="61CC7094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3674BC91" w14:textId="7B07CBC2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-</w:t>
            </w:r>
          </w:p>
        </w:tc>
      </w:tr>
      <w:tr w:rsidR="0055163D" w:rsidRPr="00B33200" w14:paraId="69A7B5F1" w14:textId="77777777" w:rsidTr="00F36B24">
        <w:trPr>
          <w:gridAfter w:val="1"/>
          <w:wAfter w:w="92" w:type="dxa"/>
          <w:trHeight w:val="300"/>
        </w:trPr>
        <w:tc>
          <w:tcPr>
            <w:tcW w:w="3686" w:type="dxa"/>
            <w:noWrap/>
            <w:vAlign w:val="center"/>
            <w:hideMark/>
          </w:tcPr>
          <w:p w14:paraId="4A5BB94F" w14:textId="7520C430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Nausea</w:t>
            </w:r>
          </w:p>
        </w:tc>
        <w:tc>
          <w:tcPr>
            <w:tcW w:w="1276" w:type="dxa"/>
            <w:vAlign w:val="center"/>
          </w:tcPr>
          <w:p w14:paraId="3BE0F14D" w14:textId="0513693E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19 (48%)</w:t>
            </w:r>
          </w:p>
        </w:tc>
        <w:tc>
          <w:tcPr>
            <w:tcW w:w="1146" w:type="dxa"/>
            <w:noWrap/>
            <w:vAlign w:val="center"/>
            <w:hideMark/>
          </w:tcPr>
          <w:p w14:paraId="3F95FC80" w14:textId="54B9101E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9 (23%)</w:t>
            </w:r>
          </w:p>
        </w:tc>
        <w:tc>
          <w:tcPr>
            <w:tcW w:w="1146" w:type="dxa"/>
            <w:gridSpan w:val="2"/>
            <w:noWrap/>
            <w:vAlign w:val="center"/>
            <w:hideMark/>
          </w:tcPr>
          <w:p w14:paraId="7804990E" w14:textId="5AAC2943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&lt; 5%</w:t>
            </w:r>
          </w:p>
        </w:tc>
        <w:tc>
          <w:tcPr>
            <w:tcW w:w="1146" w:type="dxa"/>
            <w:gridSpan w:val="2"/>
            <w:noWrap/>
            <w:vAlign w:val="center"/>
            <w:hideMark/>
          </w:tcPr>
          <w:p w14:paraId="6370B721" w14:textId="19B7CB6E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-</w:t>
            </w:r>
          </w:p>
        </w:tc>
        <w:tc>
          <w:tcPr>
            <w:tcW w:w="1147" w:type="dxa"/>
            <w:gridSpan w:val="2"/>
            <w:noWrap/>
            <w:vAlign w:val="center"/>
            <w:hideMark/>
          </w:tcPr>
          <w:p w14:paraId="762E4F5E" w14:textId="3B03F781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-</w:t>
            </w:r>
          </w:p>
        </w:tc>
      </w:tr>
      <w:tr w:rsidR="0055163D" w:rsidRPr="00B33200" w14:paraId="71FD6493" w14:textId="77777777" w:rsidTr="00F36B24">
        <w:trPr>
          <w:gridAfter w:val="1"/>
          <w:wAfter w:w="92" w:type="dxa"/>
          <w:trHeight w:val="300"/>
        </w:trPr>
        <w:tc>
          <w:tcPr>
            <w:tcW w:w="3686" w:type="dxa"/>
            <w:noWrap/>
            <w:vAlign w:val="center"/>
            <w:hideMark/>
          </w:tcPr>
          <w:p w14:paraId="61FBD4DC" w14:textId="223AE0B7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 xml:space="preserve">Hand-Foot </w:t>
            </w:r>
            <w:r w:rsidR="0065178F">
              <w:rPr>
                <w:szCs w:val="20"/>
                <w:lang w:val="en-GB"/>
              </w:rPr>
              <w:t>s</w:t>
            </w:r>
            <w:r>
              <w:rPr>
                <w:szCs w:val="20"/>
                <w:lang w:val="en-GB"/>
              </w:rPr>
              <w:t>yndrome*</w:t>
            </w:r>
          </w:p>
        </w:tc>
        <w:tc>
          <w:tcPr>
            <w:tcW w:w="1276" w:type="dxa"/>
            <w:vAlign w:val="center"/>
          </w:tcPr>
          <w:p w14:paraId="1521F4DC" w14:textId="47CB7F95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16 (40%)</w:t>
            </w:r>
          </w:p>
        </w:tc>
        <w:tc>
          <w:tcPr>
            <w:tcW w:w="1146" w:type="dxa"/>
            <w:noWrap/>
            <w:vAlign w:val="center"/>
            <w:hideMark/>
          </w:tcPr>
          <w:p w14:paraId="52BB55D7" w14:textId="64EA4C52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4 (10%)</w:t>
            </w:r>
          </w:p>
        </w:tc>
        <w:tc>
          <w:tcPr>
            <w:tcW w:w="1146" w:type="dxa"/>
            <w:gridSpan w:val="2"/>
            <w:noWrap/>
            <w:vAlign w:val="center"/>
            <w:hideMark/>
          </w:tcPr>
          <w:p w14:paraId="77D9029A" w14:textId="0B7ED3CA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&lt; 5%</w:t>
            </w:r>
          </w:p>
        </w:tc>
        <w:tc>
          <w:tcPr>
            <w:tcW w:w="1146" w:type="dxa"/>
            <w:gridSpan w:val="2"/>
            <w:noWrap/>
            <w:vAlign w:val="center"/>
            <w:hideMark/>
          </w:tcPr>
          <w:p w14:paraId="5B45C48E" w14:textId="1B8F9260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-</w:t>
            </w:r>
          </w:p>
        </w:tc>
        <w:tc>
          <w:tcPr>
            <w:tcW w:w="1147" w:type="dxa"/>
            <w:gridSpan w:val="2"/>
            <w:noWrap/>
            <w:vAlign w:val="center"/>
            <w:hideMark/>
          </w:tcPr>
          <w:p w14:paraId="1E926A1C" w14:textId="6DEF23DF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-</w:t>
            </w:r>
          </w:p>
        </w:tc>
      </w:tr>
      <w:tr w:rsidR="0055163D" w:rsidRPr="00B33200" w14:paraId="12997916" w14:textId="77777777" w:rsidTr="00F36B24">
        <w:trPr>
          <w:gridAfter w:val="1"/>
          <w:wAfter w:w="92" w:type="dxa"/>
          <w:trHeight w:val="300"/>
        </w:trPr>
        <w:tc>
          <w:tcPr>
            <w:tcW w:w="3686" w:type="dxa"/>
            <w:noWrap/>
            <w:vAlign w:val="center"/>
            <w:hideMark/>
          </w:tcPr>
          <w:p w14:paraId="21084248" w14:textId="0A40084B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Diarrhoea*</w:t>
            </w:r>
          </w:p>
        </w:tc>
        <w:tc>
          <w:tcPr>
            <w:tcW w:w="1276" w:type="dxa"/>
            <w:vAlign w:val="center"/>
          </w:tcPr>
          <w:p w14:paraId="54E386C4" w14:textId="558AD679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12 (30%)</w:t>
            </w:r>
          </w:p>
        </w:tc>
        <w:tc>
          <w:tcPr>
            <w:tcW w:w="1146" w:type="dxa"/>
            <w:noWrap/>
            <w:vAlign w:val="center"/>
            <w:hideMark/>
          </w:tcPr>
          <w:p w14:paraId="37B5F967" w14:textId="4A52C6C2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6 (15%)</w:t>
            </w:r>
          </w:p>
        </w:tc>
        <w:tc>
          <w:tcPr>
            <w:tcW w:w="1146" w:type="dxa"/>
            <w:gridSpan w:val="2"/>
            <w:noWrap/>
            <w:vAlign w:val="center"/>
            <w:hideMark/>
          </w:tcPr>
          <w:p w14:paraId="5B2DA2FB" w14:textId="649FE268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&lt; 5%</w:t>
            </w:r>
          </w:p>
        </w:tc>
        <w:tc>
          <w:tcPr>
            <w:tcW w:w="1146" w:type="dxa"/>
            <w:gridSpan w:val="2"/>
            <w:noWrap/>
            <w:vAlign w:val="center"/>
            <w:hideMark/>
          </w:tcPr>
          <w:p w14:paraId="00D26ABA" w14:textId="64BD9921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-</w:t>
            </w:r>
          </w:p>
        </w:tc>
        <w:tc>
          <w:tcPr>
            <w:tcW w:w="1147" w:type="dxa"/>
            <w:gridSpan w:val="2"/>
            <w:noWrap/>
            <w:vAlign w:val="center"/>
            <w:hideMark/>
          </w:tcPr>
          <w:p w14:paraId="2355187F" w14:textId="58A86FA9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-</w:t>
            </w:r>
          </w:p>
        </w:tc>
      </w:tr>
      <w:tr w:rsidR="0055163D" w:rsidRPr="00B33200" w14:paraId="0256219A" w14:textId="77777777" w:rsidTr="00F36B24">
        <w:trPr>
          <w:gridAfter w:val="1"/>
          <w:wAfter w:w="92" w:type="dxa"/>
          <w:trHeight w:val="300"/>
        </w:trPr>
        <w:tc>
          <w:tcPr>
            <w:tcW w:w="3686" w:type="dxa"/>
            <w:noWrap/>
            <w:vAlign w:val="center"/>
            <w:hideMark/>
          </w:tcPr>
          <w:p w14:paraId="24C701C5" w14:textId="50D09D15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Musculoskeletal pain*</w:t>
            </w:r>
          </w:p>
        </w:tc>
        <w:tc>
          <w:tcPr>
            <w:tcW w:w="1276" w:type="dxa"/>
            <w:vAlign w:val="center"/>
          </w:tcPr>
          <w:p w14:paraId="019BAA50" w14:textId="6E26FDAD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10 (25%)</w:t>
            </w:r>
          </w:p>
        </w:tc>
        <w:tc>
          <w:tcPr>
            <w:tcW w:w="1146" w:type="dxa"/>
            <w:noWrap/>
            <w:vAlign w:val="center"/>
            <w:hideMark/>
          </w:tcPr>
          <w:p w14:paraId="4BE182AF" w14:textId="68DEC7E3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&lt; 10%</w:t>
            </w:r>
          </w:p>
        </w:tc>
        <w:tc>
          <w:tcPr>
            <w:tcW w:w="1146" w:type="dxa"/>
            <w:gridSpan w:val="2"/>
            <w:noWrap/>
            <w:vAlign w:val="center"/>
            <w:hideMark/>
          </w:tcPr>
          <w:p w14:paraId="255F5DF0" w14:textId="45A73AFD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&lt; 5%</w:t>
            </w:r>
          </w:p>
        </w:tc>
        <w:tc>
          <w:tcPr>
            <w:tcW w:w="1146" w:type="dxa"/>
            <w:gridSpan w:val="2"/>
            <w:noWrap/>
            <w:vAlign w:val="center"/>
            <w:hideMark/>
          </w:tcPr>
          <w:p w14:paraId="56A38C2A" w14:textId="3B8EC87D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-</w:t>
            </w:r>
          </w:p>
        </w:tc>
        <w:tc>
          <w:tcPr>
            <w:tcW w:w="1147" w:type="dxa"/>
            <w:gridSpan w:val="2"/>
            <w:noWrap/>
            <w:vAlign w:val="center"/>
            <w:hideMark/>
          </w:tcPr>
          <w:p w14:paraId="5B450824" w14:textId="6FAE2F4F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-</w:t>
            </w:r>
          </w:p>
        </w:tc>
      </w:tr>
      <w:tr w:rsidR="0055163D" w:rsidRPr="00B33200" w14:paraId="5B0D346C" w14:textId="77777777" w:rsidTr="00F36B24">
        <w:trPr>
          <w:gridAfter w:val="1"/>
          <w:wAfter w:w="92" w:type="dxa"/>
          <w:trHeight w:val="300"/>
        </w:trPr>
        <w:tc>
          <w:tcPr>
            <w:tcW w:w="3686" w:type="dxa"/>
            <w:noWrap/>
            <w:vAlign w:val="center"/>
            <w:hideMark/>
          </w:tcPr>
          <w:p w14:paraId="3D53C03A" w14:textId="7A90CB50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Abdominal</w:t>
            </w:r>
            <w:r>
              <w:rPr>
                <w:rFonts w:ascii="Calibri" w:hAnsi="Calibri" w:cs="Calibri"/>
                <w:sz w:val="16"/>
                <w:szCs w:val="16"/>
                <w:lang w:val="en-GB"/>
              </w:rPr>
              <w:t> </w:t>
            </w:r>
            <w:r>
              <w:rPr>
                <w:szCs w:val="20"/>
                <w:lang w:val="en-GB"/>
              </w:rPr>
              <w:t>pain*</w:t>
            </w:r>
          </w:p>
        </w:tc>
        <w:tc>
          <w:tcPr>
            <w:tcW w:w="1276" w:type="dxa"/>
            <w:vAlign w:val="center"/>
          </w:tcPr>
          <w:p w14:paraId="51023C26" w14:textId="7C71F475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8 (20%)</w:t>
            </w:r>
          </w:p>
        </w:tc>
        <w:tc>
          <w:tcPr>
            <w:tcW w:w="1146" w:type="dxa"/>
            <w:noWrap/>
            <w:vAlign w:val="center"/>
            <w:hideMark/>
          </w:tcPr>
          <w:p w14:paraId="5DCA6ECC" w14:textId="3ABC2823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5 (13%)</w:t>
            </w:r>
          </w:p>
        </w:tc>
        <w:tc>
          <w:tcPr>
            <w:tcW w:w="1146" w:type="dxa"/>
            <w:gridSpan w:val="2"/>
            <w:noWrap/>
            <w:vAlign w:val="center"/>
            <w:hideMark/>
          </w:tcPr>
          <w:p w14:paraId="3A095EA7" w14:textId="5F5C9577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-</w:t>
            </w:r>
          </w:p>
        </w:tc>
        <w:tc>
          <w:tcPr>
            <w:tcW w:w="1146" w:type="dxa"/>
            <w:gridSpan w:val="2"/>
            <w:noWrap/>
            <w:vAlign w:val="center"/>
            <w:hideMark/>
          </w:tcPr>
          <w:p w14:paraId="1480FEA4" w14:textId="7DDECC65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-</w:t>
            </w:r>
          </w:p>
        </w:tc>
        <w:tc>
          <w:tcPr>
            <w:tcW w:w="1147" w:type="dxa"/>
            <w:gridSpan w:val="2"/>
            <w:noWrap/>
            <w:vAlign w:val="center"/>
            <w:hideMark/>
          </w:tcPr>
          <w:p w14:paraId="33B5A87B" w14:textId="67543A8C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-</w:t>
            </w:r>
          </w:p>
        </w:tc>
      </w:tr>
      <w:tr w:rsidR="0055163D" w:rsidRPr="00B33200" w14:paraId="32EDB41B" w14:textId="77777777" w:rsidTr="00F36B24">
        <w:trPr>
          <w:gridAfter w:val="1"/>
          <w:wAfter w:w="92" w:type="dxa"/>
          <w:trHeight w:val="300"/>
        </w:trPr>
        <w:tc>
          <w:tcPr>
            <w:tcW w:w="3686" w:type="dxa"/>
            <w:noWrap/>
            <w:vAlign w:val="center"/>
            <w:hideMark/>
          </w:tcPr>
          <w:p w14:paraId="24A106DA" w14:textId="2556F071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Dyspnoea*</w:t>
            </w:r>
          </w:p>
        </w:tc>
        <w:tc>
          <w:tcPr>
            <w:tcW w:w="1276" w:type="dxa"/>
            <w:vAlign w:val="center"/>
          </w:tcPr>
          <w:p w14:paraId="50909716" w14:textId="1352E1E4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7 (18%)</w:t>
            </w:r>
          </w:p>
        </w:tc>
        <w:tc>
          <w:tcPr>
            <w:tcW w:w="1146" w:type="dxa"/>
            <w:noWrap/>
            <w:vAlign w:val="center"/>
            <w:hideMark/>
          </w:tcPr>
          <w:p w14:paraId="5601022E" w14:textId="6DB09C33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3 (8%)</w:t>
            </w:r>
          </w:p>
        </w:tc>
        <w:tc>
          <w:tcPr>
            <w:tcW w:w="1146" w:type="dxa"/>
            <w:gridSpan w:val="2"/>
            <w:noWrap/>
            <w:vAlign w:val="center"/>
            <w:hideMark/>
          </w:tcPr>
          <w:p w14:paraId="7FBD7AB8" w14:textId="2B654F75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&lt; 5%</w:t>
            </w:r>
          </w:p>
        </w:tc>
        <w:tc>
          <w:tcPr>
            <w:tcW w:w="1146" w:type="dxa"/>
            <w:gridSpan w:val="2"/>
            <w:noWrap/>
            <w:vAlign w:val="center"/>
            <w:hideMark/>
          </w:tcPr>
          <w:p w14:paraId="2319E725" w14:textId="68A609F4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-</w:t>
            </w:r>
          </w:p>
        </w:tc>
        <w:tc>
          <w:tcPr>
            <w:tcW w:w="1147" w:type="dxa"/>
            <w:gridSpan w:val="2"/>
            <w:noWrap/>
            <w:vAlign w:val="center"/>
            <w:hideMark/>
          </w:tcPr>
          <w:p w14:paraId="33C54B7C" w14:textId="44D8B64C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-</w:t>
            </w:r>
          </w:p>
        </w:tc>
      </w:tr>
      <w:tr w:rsidR="0055163D" w:rsidRPr="00B33200" w14:paraId="02B06E85" w14:textId="77777777" w:rsidTr="00F36B24">
        <w:trPr>
          <w:gridAfter w:val="1"/>
          <w:wAfter w:w="92" w:type="dxa"/>
          <w:trHeight w:val="300"/>
        </w:trPr>
        <w:tc>
          <w:tcPr>
            <w:tcW w:w="3686" w:type="dxa"/>
            <w:noWrap/>
            <w:vAlign w:val="center"/>
            <w:hideMark/>
          </w:tcPr>
          <w:p w14:paraId="64234467" w14:textId="48D66796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Headache*</w:t>
            </w:r>
          </w:p>
        </w:tc>
        <w:tc>
          <w:tcPr>
            <w:tcW w:w="1276" w:type="dxa"/>
            <w:vAlign w:val="center"/>
          </w:tcPr>
          <w:p w14:paraId="38040008" w14:textId="6450C77F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7 (18%)</w:t>
            </w:r>
          </w:p>
        </w:tc>
        <w:tc>
          <w:tcPr>
            <w:tcW w:w="1146" w:type="dxa"/>
            <w:noWrap/>
            <w:vAlign w:val="center"/>
            <w:hideMark/>
          </w:tcPr>
          <w:p w14:paraId="0C81F9DE" w14:textId="0A024375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4 (10%)</w:t>
            </w:r>
          </w:p>
        </w:tc>
        <w:tc>
          <w:tcPr>
            <w:tcW w:w="1146" w:type="dxa"/>
            <w:gridSpan w:val="2"/>
            <w:noWrap/>
            <w:vAlign w:val="center"/>
            <w:hideMark/>
          </w:tcPr>
          <w:p w14:paraId="715B6DA5" w14:textId="13E29DB3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-</w:t>
            </w:r>
          </w:p>
        </w:tc>
        <w:tc>
          <w:tcPr>
            <w:tcW w:w="1146" w:type="dxa"/>
            <w:gridSpan w:val="2"/>
            <w:noWrap/>
            <w:vAlign w:val="center"/>
            <w:hideMark/>
          </w:tcPr>
          <w:p w14:paraId="5B8A5564" w14:textId="77C8865C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-</w:t>
            </w:r>
          </w:p>
        </w:tc>
        <w:tc>
          <w:tcPr>
            <w:tcW w:w="1147" w:type="dxa"/>
            <w:gridSpan w:val="2"/>
            <w:noWrap/>
            <w:vAlign w:val="center"/>
            <w:hideMark/>
          </w:tcPr>
          <w:p w14:paraId="64FAC04E" w14:textId="62D76950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-</w:t>
            </w:r>
          </w:p>
        </w:tc>
      </w:tr>
      <w:tr w:rsidR="0055163D" w:rsidRPr="00B33200" w14:paraId="6C5F0815" w14:textId="77777777" w:rsidTr="00F36B24">
        <w:trPr>
          <w:gridAfter w:val="1"/>
          <w:wAfter w:w="92" w:type="dxa"/>
          <w:trHeight w:val="300"/>
        </w:trPr>
        <w:tc>
          <w:tcPr>
            <w:tcW w:w="3686" w:type="dxa"/>
            <w:noWrap/>
            <w:vAlign w:val="center"/>
            <w:hideMark/>
          </w:tcPr>
          <w:p w14:paraId="458C934C" w14:textId="7CEFFF7F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Constipation</w:t>
            </w:r>
          </w:p>
        </w:tc>
        <w:tc>
          <w:tcPr>
            <w:tcW w:w="1276" w:type="dxa"/>
            <w:vAlign w:val="center"/>
          </w:tcPr>
          <w:p w14:paraId="3CFBA02E" w14:textId="1E299862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6 (15%)</w:t>
            </w:r>
          </w:p>
        </w:tc>
        <w:tc>
          <w:tcPr>
            <w:tcW w:w="1146" w:type="dxa"/>
            <w:noWrap/>
            <w:vAlign w:val="center"/>
            <w:hideMark/>
          </w:tcPr>
          <w:p w14:paraId="1C3CDFD4" w14:textId="3CC7BB26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5 (13%)</w:t>
            </w:r>
          </w:p>
        </w:tc>
        <w:tc>
          <w:tcPr>
            <w:tcW w:w="1146" w:type="dxa"/>
            <w:gridSpan w:val="2"/>
            <w:noWrap/>
            <w:vAlign w:val="center"/>
            <w:hideMark/>
          </w:tcPr>
          <w:p w14:paraId="666376B2" w14:textId="55636896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-</w:t>
            </w:r>
          </w:p>
        </w:tc>
        <w:tc>
          <w:tcPr>
            <w:tcW w:w="1146" w:type="dxa"/>
            <w:gridSpan w:val="2"/>
            <w:noWrap/>
            <w:vAlign w:val="center"/>
            <w:hideMark/>
          </w:tcPr>
          <w:p w14:paraId="10CD6ABA" w14:textId="61B01CC7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-</w:t>
            </w:r>
          </w:p>
        </w:tc>
        <w:tc>
          <w:tcPr>
            <w:tcW w:w="1147" w:type="dxa"/>
            <w:gridSpan w:val="2"/>
            <w:noWrap/>
            <w:vAlign w:val="center"/>
            <w:hideMark/>
          </w:tcPr>
          <w:p w14:paraId="33840FCD" w14:textId="3C4CF9C6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-</w:t>
            </w:r>
          </w:p>
        </w:tc>
      </w:tr>
      <w:tr w:rsidR="0055163D" w:rsidRPr="00B33200" w14:paraId="2A098E08" w14:textId="77777777" w:rsidTr="00F36B24">
        <w:trPr>
          <w:gridAfter w:val="1"/>
          <w:wAfter w:w="92" w:type="dxa"/>
          <w:trHeight w:val="300"/>
        </w:trPr>
        <w:tc>
          <w:tcPr>
            <w:tcW w:w="3686" w:type="dxa"/>
            <w:noWrap/>
            <w:vAlign w:val="center"/>
            <w:hideMark/>
          </w:tcPr>
          <w:p w14:paraId="14C5FAF4" w14:textId="701707F4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Pulmonary embolism*</w:t>
            </w:r>
          </w:p>
        </w:tc>
        <w:tc>
          <w:tcPr>
            <w:tcW w:w="1276" w:type="dxa"/>
            <w:vAlign w:val="center"/>
          </w:tcPr>
          <w:p w14:paraId="0A3916B8" w14:textId="3E99127A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4 (10%)</w:t>
            </w:r>
          </w:p>
        </w:tc>
        <w:tc>
          <w:tcPr>
            <w:tcW w:w="1146" w:type="dxa"/>
            <w:noWrap/>
            <w:vAlign w:val="center"/>
            <w:hideMark/>
          </w:tcPr>
          <w:p w14:paraId="4B294D89" w14:textId="1166AF76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&lt; 10%</w:t>
            </w:r>
          </w:p>
        </w:tc>
        <w:tc>
          <w:tcPr>
            <w:tcW w:w="1146" w:type="dxa"/>
            <w:gridSpan w:val="2"/>
            <w:noWrap/>
            <w:vAlign w:val="center"/>
            <w:hideMark/>
          </w:tcPr>
          <w:p w14:paraId="0A905F8F" w14:textId="2B65ECE1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3 (8%)</w:t>
            </w:r>
          </w:p>
        </w:tc>
        <w:tc>
          <w:tcPr>
            <w:tcW w:w="1146" w:type="dxa"/>
            <w:gridSpan w:val="2"/>
            <w:noWrap/>
            <w:vAlign w:val="center"/>
            <w:hideMark/>
          </w:tcPr>
          <w:p w14:paraId="5FAE9BCE" w14:textId="003D3142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-</w:t>
            </w:r>
          </w:p>
        </w:tc>
        <w:tc>
          <w:tcPr>
            <w:tcW w:w="1147" w:type="dxa"/>
            <w:gridSpan w:val="2"/>
            <w:noWrap/>
            <w:vAlign w:val="center"/>
            <w:hideMark/>
          </w:tcPr>
          <w:p w14:paraId="489C2A24" w14:textId="46976953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-</w:t>
            </w:r>
          </w:p>
        </w:tc>
      </w:tr>
      <w:tr w:rsidR="0055163D" w:rsidRPr="00B33200" w14:paraId="23B77B3A" w14:textId="77777777" w:rsidTr="00F36B24">
        <w:trPr>
          <w:gridAfter w:val="1"/>
          <w:wAfter w:w="92" w:type="dxa"/>
          <w:trHeight w:val="300"/>
        </w:trPr>
        <w:tc>
          <w:tcPr>
            <w:tcW w:w="3686" w:type="dxa"/>
            <w:noWrap/>
            <w:vAlign w:val="center"/>
            <w:hideMark/>
          </w:tcPr>
          <w:p w14:paraId="4B9A9269" w14:textId="39B05F69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Vomiting</w:t>
            </w:r>
          </w:p>
        </w:tc>
        <w:tc>
          <w:tcPr>
            <w:tcW w:w="1276" w:type="dxa"/>
            <w:vAlign w:val="center"/>
          </w:tcPr>
          <w:p w14:paraId="03EFA741" w14:textId="3E49013B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5 (13%)</w:t>
            </w:r>
          </w:p>
        </w:tc>
        <w:tc>
          <w:tcPr>
            <w:tcW w:w="1146" w:type="dxa"/>
            <w:noWrap/>
            <w:vAlign w:val="center"/>
            <w:hideMark/>
          </w:tcPr>
          <w:p w14:paraId="1BF02BAD" w14:textId="11C11638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&lt; 10%</w:t>
            </w:r>
          </w:p>
        </w:tc>
        <w:tc>
          <w:tcPr>
            <w:tcW w:w="1146" w:type="dxa"/>
            <w:gridSpan w:val="2"/>
            <w:noWrap/>
            <w:vAlign w:val="center"/>
            <w:hideMark/>
          </w:tcPr>
          <w:p w14:paraId="67C85520" w14:textId="377E1765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2 (5%)</w:t>
            </w:r>
          </w:p>
        </w:tc>
        <w:tc>
          <w:tcPr>
            <w:tcW w:w="1146" w:type="dxa"/>
            <w:gridSpan w:val="2"/>
            <w:noWrap/>
            <w:vAlign w:val="center"/>
            <w:hideMark/>
          </w:tcPr>
          <w:p w14:paraId="0B769F32" w14:textId="7B54483E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-</w:t>
            </w:r>
          </w:p>
        </w:tc>
        <w:tc>
          <w:tcPr>
            <w:tcW w:w="1147" w:type="dxa"/>
            <w:gridSpan w:val="2"/>
            <w:noWrap/>
            <w:vAlign w:val="center"/>
            <w:hideMark/>
          </w:tcPr>
          <w:p w14:paraId="60C5EA39" w14:textId="6B646875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-</w:t>
            </w:r>
          </w:p>
        </w:tc>
      </w:tr>
      <w:tr w:rsidR="0055163D" w:rsidRPr="00B33200" w14:paraId="6DD08380" w14:textId="77777777" w:rsidTr="00F36B24">
        <w:trPr>
          <w:gridAfter w:val="1"/>
          <w:wAfter w:w="92" w:type="dxa"/>
          <w:trHeight w:val="300"/>
        </w:trPr>
        <w:tc>
          <w:tcPr>
            <w:tcW w:w="3686" w:type="dxa"/>
            <w:noWrap/>
            <w:vAlign w:val="center"/>
            <w:hideMark/>
          </w:tcPr>
          <w:p w14:paraId="50FF36D6" w14:textId="48CB911B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Upper respiratory tract infection*</w:t>
            </w:r>
          </w:p>
        </w:tc>
        <w:tc>
          <w:tcPr>
            <w:tcW w:w="1276" w:type="dxa"/>
            <w:vAlign w:val="center"/>
          </w:tcPr>
          <w:p w14:paraId="69E7969E" w14:textId="448A974B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3 (8%)</w:t>
            </w:r>
          </w:p>
        </w:tc>
        <w:tc>
          <w:tcPr>
            <w:tcW w:w="1146" w:type="dxa"/>
            <w:noWrap/>
            <w:vAlign w:val="center"/>
            <w:hideMark/>
          </w:tcPr>
          <w:p w14:paraId="748A144C" w14:textId="13DAF3F6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&lt; 10%</w:t>
            </w:r>
          </w:p>
        </w:tc>
        <w:tc>
          <w:tcPr>
            <w:tcW w:w="1146" w:type="dxa"/>
            <w:gridSpan w:val="2"/>
            <w:noWrap/>
            <w:vAlign w:val="center"/>
            <w:hideMark/>
          </w:tcPr>
          <w:p w14:paraId="70398CD6" w14:textId="51CDE46E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2 (5%)</w:t>
            </w:r>
          </w:p>
        </w:tc>
        <w:tc>
          <w:tcPr>
            <w:tcW w:w="1146" w:type="dxa"/>
            <w:gridSpan w:val="2"/>
            <w:noWrap/>
            <w:vAlign w:val="center"/>
            <w:hideMark/>
          </w:tcPr>
          <w:p w14:paraId="6ADCD6DD" w14:textId="62C13569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-</w:t>
            </w:r>
          </w:p>
        </w:tc>
        <w:tc>
          <w:tcPr>
            <w:tcW w:w="1147" w:type="dxa"/>
            <w:gridSpan w:val="2"/>
            <w:noWrap/>
            <w:vAlign w:val="center"/>
            <w:hideMark/>
          </w:tcPr>
          <w:p w14:paraId="352BD67F" w14:textId="292AFB1A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-</w:t>
            </w:r>
          </w:p>
        </w:tc>
      </w:tr>
      <w:tr w:rsidR="0055163D" w:rsidRPr="00B33200" w14:paraId="70942150" w14:textId="77777777" w:rsidTr="00F36B24">
        <w:trPr>
          <w:gridAfter w:val="1"/>
          <w:wAfter w:w="92" w:type="dxa"/>
          <w:trHeight w:val="300"/>
        </w:trPr>
        <w:tc>
          <w:tcPr>
            <w:tcW w:w="3686" w:type="dxa"/>
            <w:noWrap/>
            <w:vAlign w:val="center"/>
            <w:hideMark/>
          </w:tcPr>
          <w:p w14:paraId="7351BCA2" w14:textId="70EFD4E2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Device related infection</w:t>
            </w:r>
          </w:p>
        </w:tc>
        <w:tc>
          <w:tcPr>
            <w:tcW w:w="1276" w:type="dxa"/>
            <w:vAlign w:val="center"/>
          </w:tcPr>
          <w:p w14:paraId="21BE8BDD" w14:textId="3BC6C409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2 (5%)</w:t>
            </w:r>
          </w:p>
        </w:tc>
        <w:tc>
          <w:tcPr>
            <w:tcW w:w="1146" w:type="dxa"/>
            <w:noWrap/>
            <w:vAlign w:val="center"/>
            <w:hideMark/>
          </w:tcPr>
          <w:p w14:paraId="26085E40" w14:textId="535B5054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-</w:t>
            </w:r>
          </w:p>
        </w:tc>
        <w:tc>
          <w:tcPr>
            <w:tcW w:w="1146" w:type="dxa"/>
            <w:gridSpan w:val="2"/>
            <w:noWrap/>
            <w:vAlign w:val="center"/>
            <w:hideMark/>
          </w:tcPr>
          <w:p w14:paraId="2A14833C" w14:textId="71259628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2 (5%)</w:t>
            </w:r>
          </w:p>
        </w:tc>
        <w:tc>
          <w:tcPr>
            <w:tcW w:w="1146" w:type="dxa"/>
            <w:gridSpan w:val="2"/>
            <w:noWrap/>
            <w:vAlign w:val="center"/>
            <w:hideMark/>
          </w:tcPr>
          <w:p w14:paraId="6FFB614C" w14:textId="49FE6F19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-</w:t>
            </w:r>
          </w:p>
        </w:tc>
        <w:tc>
          <w:tcPr>
            <w:tcW w:w="1147" w:type="dxa"/>
            <w:gridSpan w:val="2"/>
            <w:noWrap/>
            <w:vAlign w:val="center"/>
            <w:hideMark/>
          </w:tcPr>
          <w:p w14:paraId="19D08BE9" w14:textId="40F8E195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-</w:t>
            </w:r>
          </w:p>
        </w:tc>
      </w:tr>
      <w:tr w:rsidR="0055163D" w:rsidRPr="00B33200" w14:paraId="30FB269B" w14:textId="77777777" w:rsidTr="00F36B24">
        <w:trPr>
          <w:gridAfter w:val="1"/>
          <w:wAfter w:w="92" w:type="dxa"/>
          <w:trHeight w:val="300"/>
        </w:trPr>
        <w:tc>
          <w:tcPr>
            <w:tcW w:w="3686" w:type="dxa"/>
            <w:noWrap/>
            <w:vAlign w:val="center"/>
            <w:hideMark/>
          </w:tcPr>
          <w:p w14:paraId="7DCEF8B0" w14:textId="26F2E041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Cardiomyopathy</w:t>
            </w:r>
          </w:p>
        </w:tc>
        <w:tc>
          <w:tcPr>
            <w:tcW w:w="1276" w:type="dxa"/>
            <w:vAlign w:val="center"/>
          </w:tcPr>
          <w:p w14:paraId="0827773F" w14:textId="4E91F042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1 (3%)</w:t>
            </w:r>
          </w:p>
        </w:tc>
        <w:tc>
          <w:tcPr>
            <w:tcW w:w="1146" w:type="dxa"/>
            <w:noWrap/>
            <w:vAlign w:val="center"/>
            <w:hideMark/>
          </w:tcPr>
          <w:p w14:paraId="6D165060" w14:textId="4FBAFB3A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-</w:t>
            </w:r>
          </w:p>
        </w:tc>
        <w:tc>
          <w:tcPr>
            <w:tcW w:w="1146" w:type="dxa"/>
            <w:gridSpan w:val="2"/>
            <w:noWrap/>
            <w:vAlign w:val="center"/>
            <w:hideMark/>
          </w:tcPr>
          <w:p w14:paraId="0C165E53" w14:textId="10579D67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-</w:t>
            </w:r>
          </w:p>
        </w:tc>
        <w:tc>
          <w:tcPr>
            <w:tcW w:w="1146" w:type="dxa"/>
            <w:gridSpan w:val="2"/>
            <w:noWrap/>
            <w:vAlign w:val="center"/>
            <w:hideMark/>
          </w:tcPr>
          <w:p w14:paraId="512D5BE9" w14:textId="0C3E3CFB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-</w:t>
            </w:r>
          </w:p>
        </w:tc>
        <w:tc>
          <w:tcPr>
            <w:tcW w:w="1147" w:type="dxa"/>
            <w:gridSpan w:val="2"/>
            <w:noWrap/>
            <w:vAlign w:val="center"/>
            <w:hideMark/>
          </w:tcPr>
          <w:p w14:paraId="542BD79B" w14:textId="4AB62460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1 (3%)</w:t>
            </w:r>
          </w:p>
        </w:tc>
      </w:tr>
      <w:tr w:rsidR="0055163D" w:rsidRPr="00B33200" w14:paraId="1E1CC44B" w14:textId="77777777" w:rsidTr="00F36B24">
        <w:trPr>
          <w:gridAfter w:val="1"/>
          <w:wAfter w:w="92" w:type="dxa"/>
          <w:trHeight w:val="300"/>
        </w:trPr>
        <w:tc>
          <w:tcPr>
            <w:tcW w:w="368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E04E539" w14:textId="489E63BF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Hepatic failure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CDA782D" w14:textId="7F656D4D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1 (3%)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441203A" w14:textId="711F17C8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-</w:t>
            </w:r>
          </w:p>
        </w:tc>
        <w:tc>
          <w:tcPr>
            <w:tcW w:w="1146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417E2EA8" w14:textId="50E05AC0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-</w:t>
            </w:r>
          </w:p>
        </w:tc>
        <w:tc>
          <w:tcPr>
            <w:tcW w:w="1146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20D0B7DA" w14:textId="4A0664C5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1 (3%)</w:t>
            </w:r>
          </w:p>
        </w:tc>
        <w:tc>
          <w:tcPr>
            <w:tcW w:w="1147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0229F15A" w14:textId="7254BE6B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-</w:t>
            </w:r>
          </w:p>
        </w:tc>
      </w:tr>
      <w:tr w:rsidR="00283AA5" w:rsidRPr="00B33200" w14:paraId="001FAE11" w14:textId="77777777" w:rsidTr="00F36B24">
        <w:trPr>
          <w:gridAfter w:val="1"/>
          <w:wAfter w:w="92" w:type="dxa"/>
          <w:trHeight w:val="30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0A3265F" w14:textId="77777777" w:rsidR="00283AA5" w:rsidRPr="003A19F1" w:rsidRDefault="00283AA5" w:rsidP="004F5CEA">
            <w:pPr>
              <w:pStyle w:val="TableContent"/>
              <w:rPr>
                <w:b/>
                <w:bCs/>
                <w:lang w:val="en-GB"/>
              </w:rPr>
            </w:pPr>
            <w:r w:rsidRPr="003A19F1">
              <w:rPr>
                <w:b/>
                <w:bCs/>
                <w:lang w:val="en-GB"/>
              </w:rPr>
              <w:t>Haematological adverse events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E03F30A" w14:textId="77777777" w:rsidR="00283AA5" w:rsidRPr="003A19F1" w:rsidRDefault="00283AA5" w:rsidP="004F5CEA">
            <w:pPr>
              <w:pStyle w:val="TableContent"/>
              <w:rPr>
                <w:b/>
                <w:bCs/>
                <w:lang w:val="en-GB"/>
              </w:rPr>
            </w:pPr>
            <w:r w:rsidRPr="003A19F1">
              <w:rPr>
                <w:b/>
                <w:bCs/>
                <w:lang w:val="en-GB"/>
              </w:rPr>
              <w:t>All grades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88F8906" w14:textId="77777777" w:rsidR="00283AA5" w:rsidRPr="003A19F1" w:rsidRDefault="00283AA5" w:rsidP="004F5CEA">
            <w:pPr>
              <w:pStyle w:val="TableContent"/>
              <w:rPr>
                <w:b/>
                <w:bCs/>
                <w:lang w:val="en-GB"/>
              </w:rPr>
            </w:pPr>
            <w:r w:rsidRPr="003A19F1">
              <w:rPr>
                <w:b/>
                <w:bCs/>
                <w:lang w:val="en-GB"/>
              </w:rPr>
              <w:t>Grade 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5885C1B" w14:textId="77777777" w:rsidR="00283AA5" w:rsidRPr="003A19F1" w:rsidRDefault="00283AA5" w:rsidP="004F5CEA">
            <w:pPr>
              <w:pStyle w:val="TableContent"/>
              <w:rPr>
                <w:b/>
                <w:bCs/>
                <w:lang w:val="en-GB"/>
              </w:rPr>
            </w:pPr>
            <w:r w:rsidRPr="003A19F1">
              <w:rPr>
                <w:b/>
                <w:bCs/>
                <w:lang w:val="en-GB"/>
              </w:rPr>
              <w:t>Grade 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B426919" w14:textId="77777777" w:rsidR="00283AA5" w:rsidRPr="003A19F1" w:rsidRDefault="00283AA5" w:rsidP="004F5CEA">
            <w:pPr>
              <w:pStyle w:val="TableContent"/>
              <w:rPr>
                <w:b/>
                <w:bCs/>
                <w:lang w:val="en-GB"/>
              </w:rPr>
            </w:pPr>
            <w:r w:rsidRPr="003A19F1">
              <w:rPr>
                <w:b/>
                <w:bCs/>
                <w:lang w:val="en-GB"/>
              </w:rPr>
              <w:t>Grade 4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DC6D67F" w14:textId="77777777" w:rsidR="00283AA5" w:rsidRPr="003A19F1" w:rsidRDefault="00283AA5" w:rsidP="004F5CEA">
            <w:pPr>
              <w:pStyle w:val="TableContent"/>
              <w:rPr>
                <w:b/>
                <w:bCs/>
                <w:lang w:val="en-GB"/>
              </w:rPr>
            </w:pPr>
            <w:r w:rsidRPr="003A19F1">
              <w:rPr>
                <w:b/>
                <w:bCs/>
                <w:lang w:val="en-GB"/>
              </w:rPr>
              <w:t>Grade 5</w:t>
            </w:r>
          </w:p>
        </w:tc>
      </w:tr>
      <w:tr w:rsidR="0055163D" w:rsidRPr="00B33200" w14:paraId="0F7B6AA0" w14:textId="77777777" w:rsidTr="00F36B24">
        <w:trPr>
          <w:gridAfter w:val="1"/>
          <w:wAfter w:w="92" w:type="dxa"/>
          <w:trHeight w:val="300"/>
        </w:trPr>
        <w:tc>
          <w:tcPr>
            <w:tcW w:w="368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A657341" w14:textId="3819FB71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Leukopenia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1035D7C" w14:textId="57CFFF88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16 (40%)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92609E0" w14:textId="618AEA4F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9 (23%)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4355E08B" w14:textId="294BB3BD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4 (10%)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509417C7" w14:textId="583B27BC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1 (3%)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5C60FA9E" w14:textId="70703B79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-</w:t>
            </w:r>
          </w:p>
        </w:tc>
      </w:tr>
      <w:tr w:rsidR="0055163D" w:rsidRPr="00B33200" w14:paraId="194D0893" w14:textId="77777777" w:rsidTr="00F36B24">
        <w:trPr>
          <w:gridAfter w:val="1"/>
          <w:wAfter w:w="92" w:type="dxa"/>
          <w:trHeight w:val="300"/>
        </w:trPr>
        <w:tc>
          <w:tcPr>
            <w:tcW w:w="3686" w:type="dxa"/>
            <w:noWrap/>
            <w:vAlign w:val="center"/>
            <w:hideMark/>
          </w:tcPr>
          <w:p w14:paraId="0CB62CD5" w14:textId="1CA68B8B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Neutropenia</w:t>
            </w:r>
          </w:p>
        </w:tc>
        <w:tc>
          <w:tcPr>
            <w:tcW w:w="1276" w:type="dxa"/>
            <w:vAlign w:val="center"/>
          </w:tcPr>
          <w:p w14:paraId="43E29D67" w14:textId="3C440D44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16 (40%)</w:t>
            </w:r>
          </w:p>
        </w:tc>
        <w:tc>
          <w:tcPr>
            <w:tcW w:w="1146" w:type="dxa"/>
            <w:noWrap/>
            <w:vAlign w:val="center"/>
            <w:hideMark/>
          </w:tcPr>
          <w:p w14:paraId="67BD50D5" w14:textId="19BDC545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6 (15%)</w:t>
            </w:r>
          </w:p>
        </w:tc>
        <w:tc>
          <w:tcPr>
            <w:tcW w:w="1146" w:type="dxa"/>
            <w:gridSpan w:val="2"/>
            <w:noWrap/>
            <w:vAlign w:val="center"/>
            <w:hideMark/>
          </w:tcPr>
          <w:p w14:paraId="64D2E21B" w14:textId="20459A32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8 (20%)</w:t>
            </w:r>
          </w:p>
        </w:tc>
        <w:tc>
          <w:tcPr>
            <w:tcW w:w="1146" w:type="dxa"/>
            <w:gridSpan w:val="2"/>
            <w:noWrap/>
            <w:vAlign w:val="center"/>
            <w:hideMark/>
          </w:tcPr>
          <w:p w14:paraId="093900C6" w14:textId="2939377F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1 (3%)</w:t>
            </w:r>
          </w:p>
        </w:tc>
        <w:tc>
          <w:tcPr>
            <w:tcW w:w="1147" w:type="dxa"/>
            <w:gridSpan w:val="2"/>
            <w:noWrap/>
            <w:vAlign w:val="center"/>
            <w:hideMark/>
          </w:tcPr>
          <w:p w14:paraId="6ADF7309" w14:textId="1312D9FB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-</w:t>
            </w:r>
          </w:p>
        </w:tc>
      </w:tr>
      <w:tr w:rsidR="0055163D" w:rsidRPr="00B33200" w14:paraId="4F40B3DD" w14:textId="77777777" w:rsidTr="00F36B24">
        <w:trPr>
          <w:gridAfter w:val="1"/>
          <w:wAfter w:w="92" w:type="dxa"/>
          <w:trHeight w:val="300"/>
        </w:trPr>
        <w:tc>
          <w:tcPr>
            <w:tcW w:w="3686" w:type="dxa"/>
            <w:noWrap/>
            <w:vAlign w:val="center"/>
          </w:tcPr>
          <w:p w14:paraId="3B4E9CE2" w14:textId="554139AA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Anaemia</w:t>
            </w:r>
          </w:p>
        </w:tc>
        <w:tc>
          <w:tcPr>
            <w:tcW w:w="1276" w:type="dxa"/>
            <w:vAlign w:val="center"/>
          </w:tcPr>
          <w:p w14:paraId="51E56DC1" w14:textId="424E1389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10 (25%)</w:t>
            </w:r>
          </w:p>
        </w:tc>
        <w:tc>
          <w:tcPr>
            <w:tcW w:w="1146" w:type="dxa"/>
            <w:noWrap/>
            <w:vAlign w:val="center"/>
          </w:tcPr>
          <w:p w14:paraId="69B07547" w14:textId="4850545F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4 (10%)</w:t>
            </w:r>
          </w:p>
        </w:tc>
        <w:tc>
          <w:tcPr>
            <w:tcW w:w="1146" w:type="dxa"/>
            <w:gridSpan w:val="2"/>
            <w:noWrap/>
            <w:vAlign w:val="center"/>
          </w:tcPr>
          <w:p w14:paraId="319021C6" w14:textId="4CC1A60A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-</w:t>
            </w:r>
          </w:p>
        </w:tc>
        <w:tc>
          <w:tcPr>
            <w:tcW w:w="1146" w:type="dxa"/>
            <w:gridSpan w:val="2"/>
            <w:noWrap/>
            <w:vAlign w:val="center"/>
          </w:tcPr>
          <w:p w14:paraId="016C81E0" w14:textId="3C0BAC31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-</w:t>
            </w:r>
          </w:p>
        </w:tc>
        <w:tc>
          <w:tcPr>
            <w:tcW w:w="1147" w:type="dxa"/>
            <w:gridSpan w:val="2"/>
            <w:noWrap/>
            <w:vAlign w:val="center"/>
          </w:tcPr>
          <w:p w14:paraId="3ABF12CA" w14:textId="26D9B67C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-</w:t>
            </w:r>
          </w:p>
        </w:tc>
      </w:tr>
      <w:tr w:rsidR="0055163D" w:rsidRPr="00B33200" w14:paraId="374B8FBA" w14:textId="77777777" w:rsidTr="00F36B24">
        <w:trPr>
          <w:gridAfter w:val="1"/>
          <w:wAfter w:w="92" w:type="dxa"/>
          <w:trHeight w:val="300"/>
        </w:trPr>
        <w:tc>
          <w:tcPr>
            <w:tcW w:w="368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040FA7C" w14:textId="093A6EFE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Lymphocyte count decreased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7D60850" w14:textId="21C0C5BD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2 (5%)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909D7C7" w14:textId="7B6EB7BA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-</w:t>
            </w:r>
          </w:p>
        </w:tc>
        <w:tc>
          <w:tcPr>
            <w:tcW w:w="1146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19A7D90B" w14:textId="618B5321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2 (5%)</w:t>
            </w:r>
          </w:p>
        </w:tc>
        <w:tc>
          <w:tcPr>
            <w:tcW w:w="1146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573E361D" w14:textId="3900FCDE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-</w:t>
            </w:r>
          </w:p>
        </w:tc>
        <w:tc>
          <w:tcPr>
            <w:tcW w:w="1147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08AEDC71" w14:textId="75F1AF5B" w:rsidR="0055163D" w:rsidRPr="003A19F1" w:rsidRDefault="0055163D" w:rsidP="0055163D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-</w:t>
            </w:r>
          </w:p>
        </w:tc>
      </w:tr>
    </w:tbl>
    <w:p w14:paraId="68D5A0A5" w14:textId="7306535C" w:rsidR="00283AA5" w:rsidRPr="003A19F1" w:rsidRDefault="00283AA5" w:rsidP="00283AA5">
      <w:pPr>
        <w:pStyle w:val="Beschriftung"/>
        <w:rPr>
          <w:rFonts w:cstheme="minorHAnsi"/>
          <w:lang w:val="en-GB"/>
        </w:rPr>
      </w:pPr>
      <w:r w:rsidRPr="003A19F1">
        <w:rPr>
          <w:lang w:val="en-GB"/>
        </w:rPr>
        <w:t xml:space="preserve">Adverse events starting during </w:t>
      </w:r>
      <w:proofErr w:type="spellStart"/>
      <w:r w:rsidRPr="003A19F1">
        <w:rPr>
          <w:lang w:val="en-GB"/>
        </w:rPr>
        <w:t>bendamustin</w:t>
      </w:r>
      <w:proofErr w:type="spellEnd"/>
      <w:r w:rsidRPr="003A19F1">
        <w:rPr>
          <w:lang w:val="en-GB"/>
        </w:rPr>
        <w:t xml:space="preserve">/capecitabine combination treatment </w:t>
      </w:r>
      <w:r w:rsidRPr="003A19F1">
        <w:rPr>
          <w:rFonts w:cstheme="minorHAnsi"/>
          <w:lang w:val="en-GB"/>
        </w:rPr>
        <w:t>≥ grade 2 and number of patients with maximum grading per event are listed. “</w:t>
      </w:r>
      <w:r w:rsidRPr="003A19F1">
        <w:rPr>
          <w:lang w:val="en-GB"/>
        </w:rPr>
        <w:t>All grades” include</w:t>
      </w:r>
      <w:r w:rsidR="00604D77" w:rsidRPr="00B33200">
        <w:rPr>
          <w:lang w:val="en-GB"/>
        </w:rPr>
        <w:t>s</w:t>
      </w:r>
      <w:r w:rsidRPr="003A19F1">
        <w:rPr>
          <w:lang w:val="en-GB"/>
        </w:rPr>
        <w:t xml:space="preserve"> patients with maximum grade 1. </w:t>
      </w:r>
      <w:r w:rsidRPr="003A19F1">
        <w:rPr>
          <w:rFonts w:cstheme="minorHAnsi"/>
          <w:lang w:val="en-GB"/>
        </w:rPr>
        <w:t>Adverse events grade 2 with occurrence in ≥10% of patients, grade 3 in ≥5% of patients and all grade 4/5 adverse events are shown. *Adverse event terms are summarized MedDRA preferred terms.</w:t>
      </w:r>
    </w:p>
    <w:p w14:paraId="6680BE1E" w14:textId="77777777" w:rsidR="00283AA5" w:rsidRPr="003A19F1" w:rsidRDefault="00283AA5" w:rsidP="00283AA5">
      <w:pPr>
        <w:rPr>
          <w:b/>
          <w:bCs/>
          <w:lang w:val="en-GB"/>
        </w:rPr>
      </w:pPr>
    </w:p>
    <w:p w14:paraId="740A7F7A" w14:textId="0EDD15A6" w:rsidR="00283AA5" w:rsidRPr="00B33200" w:rsidRDefault="00283AA5" w:rsidP="00283AA5">
      <w:pPr>
        <w:pStyle w:val="FigureandTableHeader"/>
        <w:rPr>
          <w:rFonts w:cstheme="minorHAnsi"/>
        </w:rPr>
      </w:pPr>
      <w:r w:rsidRPr="00B33200">
        <w:t>Table S</w:t>
      </w:r>
      <w:r w:rsidR="004D7EEF">
        <w:t>4</w:t>
      </w:r>
      <w:r w:rsidRPr="00B33200">
        <w:t>: Adverse events starting during capecitabine mono treatment</w:t>
      </w:r>
    </w:p>
    <w:tbl>
      <w:tblPr>
        <w:tblStyle w:val="Tabellenraster"/>
        <w:tblW w:w="9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275"/>
        <w:gridCol w:w="1240"/>
        <w:gridCol w:w="12"/>
        <w:gridCol w:w="1229"/>
        <w:gridCol w:w="24"/>
        <w:gridCol w:w="1216"/>
        <w:gridCol w:w="37"/>
        <w:gridCol w:w="1204"/>
        <w:gridCol w:w="49"/>
      </w:tblGrid>
      <w:tr w:rsidR="00283AA5" w:rsidRPr="007B6DEB" w14:paraId="35DFC024" w14:textId="77777777" w:rsidTr="00F36B24">
        <w:trPr>
          <w:gridAfter w:val="1"/>
          <w:wAfter w:w="49" w:type="dxa"/>
          <w:trHeight w:val="30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1C971D1" w14:textId="559A5022" w:rsidR="00283AA5" w:rsidRPr="003A19F1" w:rsidRDefault="00A704F1" w:rsidP="004F5CEA">
            <w:pPr>
              <w:pStyle w:val="TableContent"/>
              <w:rPr>
                <w:b/>
                <w:bCs/>
                <w:lang w:val="en-GB"/>
              </w:rPr>
            </w:pPr>
            <w:r w:rsidRPr="00B33200">
              <w:rPr>
                <w:b/>
                <w:bCs/>
                <w:lang w:val="en-GB"/>
              </w:rPr>
              <w:t>N=18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8203A90" w14:textId="53E126AD" w:rsidR="00283AA5" w:rsidRPr="003A19F1" w:rsidRDefault="00283AA5" w:rsidP="004F5CEA">
            <w:pPr>
              <w:pStyle w:val="TableContent"/>
              <w:rPr>
                <w:b/>
                <w:bCs/>
                <w:lang w:val="en-GB"/>
              </w:rPr>
            </w:pPr>
          </w:p>
        </w:tc>
        <w:tc>
          <w:tcPr>
            <w:tcW w:w="4962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77385C5" w14:textId="77777777" w:rsidR="00283AA5" w:rsidRPr="003A19F1" w:rsidRDefault="00283AA5" w:rsidP="004F5CEA">
            <w:pPr>
              <w:pStyle w:val="TableContent"/>
              <w:rPr>
                <w:b/>
                <w:bCs/>
                <w:lang w:val="en-GB"/>
              </w:rPr>
            </w:pPr>
            <w:r w:rsidRPr="003A19F1">
              <w:rPr>
                <w:b/>
                <w:bCs/>
                <w:lang w:val="en-GB"/>
              </w:rPr>
              <w:t>Number of patients with maximal grading</w:t>
            </w:r>
          </w:p>
        </w:tc>
      </w:tr>
      <w:tr w:rsidR="00283AA5" w:rsidRPr="00B33200" w14:paraId="3B9597CA" w14:textId="77777777" w:rsidTr="00F36B24">
        <w:trPr>
          <w:gridAfter w:val="1"/>
          <w:wAfter w:w="49" w:type="dxa"/>
          <w:trHeight w:val="30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3DAFC4B" w14:textId="77777777" w:rsidR="00283AA5" w:rsidRPr="003A19F1" w:rsidRDefault="00283AA5" w:rsidP="004F5CEA">
            <w:pPr>
              <w:pStyle w:val="TableContent"/>
              <w:rPr>
                <w:b/>
                <w:bCs/>
                <w:lang w:val="en-GB"/>
              </w:rPr>
            </w:pPr>
            <w:r w:rsidRPr="003A19F1">
              <w:rPr>
                <w:b/>
                <w:bCs/>
                <w:lang w:val="en-GB"/>
              </w:rPr>
              <w:t>Non haematological adverse events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30DB391" w14:textId="77777777" w:rsidR="00283AA5" w:rsidRPr="003A19F1" w:rsidRDefault="00283AA5" w:rsidP="004F5CEA">
            <w:pPr>
              <w:pStyle w:val="TableContent"/>
              <w:rPr>
                <w:b/>
                <w:bCs/>
                <w:lang w:val="en-GB"/>
              </w:rPr>
            </w:pPr>
            <w:r w:rsidRPr="003A19F1">
              <w:rPr>
                <w:b/>
                <w:bCs/>
                <w:lang w:val="en-GB"/>
              </w:rPr>
              <w:t>All grades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FAEB837" w14:textId="77777777" w:rsidR="00283AA5" w:rsidRPr="003A19F1" w:rsidRDefault="00283AA5" w:rsidP="004F5CEA">
            <w:pPr>
              <w:pStyle w:val="TableContent"/>
              <w:rPr>
                <w:b/>
                <w:bCs/>
                <w:lang w:val="en-GB"/>
              </w:rPr>
            </w:pPr>
            <w:r w:rsidRPr="003A19F1">
              <w:rPr>
                <w:b/>
                <w:bCs/>
                <w:lang w:val="en-GB"/>
              </w:rPr>
              <w:t>Grade 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CDDD719" w14:textId="77777777" w:rsidR="00283AA5" w:rsidRPr="003A19F1" w:rsidRDefault="00283AA5" w:rsidP="004F5CEA">
            <w:pPr>
              <w:pStyle w:val="TableContent"/>
              <w:rPr>
                <w:b/>
                <w:bCs/>
                <w:lang w:val="en-GB"/>
              </w:rPr>
            </w:pPr>
            <w:r w:rsidRPr="003A19F1">
              <w:rPr>
                <w:b/>
                <w:bCs/>
                <w:lang w:val="en-GB"/>
              </w:rPr>
              <w:t>Grade 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59187A4" w14:textId="77777777" w:rsidR="00283AA5" w:rsidRPr="003A19F1" w:rsidRDefault="00283AA5" w:rsidP="004F5CEA">
            <w:pPr>
              <w:pStyle w:val="TableContent"/>
              <w:rPr>
                <w:b/>
                <w:bCs/>
                <w:lang w:val="en-GB"/>
              </w:rPr>
            </w:pPr>
            <w:r w:rsidRPr="003A19F1">
              <w:rPr>
                <w:b/>
                <w:bCs/>
                <w:lang w:val="en-GB"/>
              </w:rPr>
              <w:t>Grade 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B0D62D7" w14:textId="77777777" w:rsidR="00283AA5" w:rsidRPr="003A19F1" w:rsidRDefault="00283AA5" w:rsidP="004F5CEA">
            <w:pPr>
              <w:pStyle w:val="TableContent"/>
              <w:rPr>
                <w:b/>
                <w:bCs/>
                <w:lang w:val="en-GB"/>
              </w:rPr>
            </w:pPr>
            <w:r w:rsidRPr="003A19F1">
              <w:rPr>
                <w:b/>
                <w:bCs/>
                <w:lang w:val="en-GB"/>
              </w:rPr>
              <w:t>Grade 5</w:t>
            </w:r>
          </w:p>
        </w:tc>
      </w:tr>
      <w:tr w:rsidR="0065178F" w:rsidRPr="00B33200" w14:paraId="48CE41F1" w14:textId="77777777" w:rsidTr="00F36B24">
        <w:trPr>
          <w:trHeight w:val="300"/>
        </w:trPr>
        <w:tc>
          <w:tcPr>
            <w:tcW w:w="3261" w:type="dxa"/>
            <w:noWrap/>
            <w:vAlign w:val="center"/>
          </w:tcPr>
          <w:p w14:paraId="74ECF75F" w14:textId="28817518" w:rsidR="0065178F" w:rsidRPr="003A19F1" w:rsidRDefault="0065178F" w:rsidP="0065178F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 xml:space="preserve">Palmar-plantar </w:t>
            </w:r>
            <w:proofErr w:type="spellStart"/>
            <w:r>
              <w:rPr>
                <w:szCs w:val="20"/>
                <w:lang w:val="en-GB"/>
              </w:rPr>
              <w:t>erythrodysaesthesia</w:t>
            </w:r>
            <w:proofErr w:type="spellEnd"/>
            <w:r>
              <w:rPr>
                <w:szCs w:val="20"/>
                <w:lang w:val="en-GB"/>
              </w:rPr>
              <w:t xml:space="preserve"> syndrome*</w:t>
            </w:r>
          </w:p>
        </w:tc>
        <w:tc>
          <w:tcPr>
            <w:tcW w:w="1275" w:type="dxa"/>
            <w:vAlign w:val="center"/>
          </w:tcPr>
          <w:p w14:paraId="41DAF34B" w14:textId="0975E2C7" w:rsidR="0065178F" w:rsidRPr="003A19F1" w:rsidRDefault="0065178F" w:rsidP="0065178F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13 (72%)</w:t>
            </w:r>
          </w:p>
        </w:tc>
        <w:tc>
          <w:tcPr>
            <w:tcW w:w="1252" w:type="dxa"/>
            <w:gridSpan w:val="2"/>
            <w:noWrap/>
            <w:vAlign w:val="center"/>
          </w:tcPr>
          <w:p w14:paraId="07B460C9" w14:textId="650D63CE" w:rsidR="0065178F" w:rsidRPr="003A19F1" w:rsidRDefault="0065178F" w:rsidP="0065178F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4 (22%)</w:t>
            </w:r>
          </w:p>
        </w:tc>
        <w:tc>
          <w:tcPr>
            <w:tcW w:w="1253" w:type="dxa"/>
            <w:gridSpan w:val="2"/>
            <w:noWrap/>
            <w:vAlign w:val="center"/>
          </w:tcPr>
          <w:p w14:paraId="2DF1BF02" w14:textId="0A89A398" w:rsidR="0065178F" w:rsidRPr="003A19F1" w:rsidRDefault="0065178F" w:rsidP="0065178F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5 (28%)</w:t>
            </w:r>
          </w:p>
        </w:tc>
        <w:tc>
          <w:tcPr>
            <w:tcW w:w="1253" w:type="dxa"/>
            <w:gridSpan w:val="2"/>
            <w:noWrap/>
            <w:vAlign w:val="center"/>
          </w:tcPr>
          <w:p w14:paraId="2E398E36" w14:textId="77777777" w:rsidR="0065178F" w:rsidRPr="003A19F1" w:rsidRDefault="0065178F" w:rsidP="0065178F">
            <w:pPr>
              <w:pStyle w:val="TableContent"/>
              <w:rPr>
                <w:lang w:val="en-GB"/>
              </w:rPr>
            </w:pPr>
          </w:p>
        </w:tc>
        <w:tc>
          <w:tcPr>
            <w:tcW w:w="1253" w:type="dxa"/>
            <w:gridSpan w:val="2"/>
            <w:noWrap/>
          </w:tcPr>
          <w:p w14:paraId="71118954" w14:textId="77777777" w:rsidR="0065178F" w:rsidRPr="003A19F1" w:rsidRDefault="0065178F" w:rsidP="0065178F">
            <w:pPr>
              <w:pStyle w:val="TableContent"/>
              <w:rPr>
                <w:lang w:val="en-GB"/>
              </w:rPr>
            </w:pPr>
          </w:p>
        </w:tc>
      </w:tr>
      <w:tr w:rsidR="0065178F" w:rsidRPr="00B33200" w14:paraId="732FDE1B" w14:textId="77777777" w:rsidTr="00F36B24">
        <w:trPr>
          <w:trHeight w:val="300"/>
        </w:trPr>
        <w:tc>
          <w:tcPr>
            <w:tcW w:w="3261" w:type="dxa"/>
            <w:noWrap/>
            <w:vAlign w:val="center"/>
          </w:tcPr>
          <w:p w14:paraId="2BC4A015" w14:textId="5D55B3A4" w:rsidR="0065178F" w:rsidRPr="003A19F1" w:rsidRDefault="0065178F" w:rsidP="0065178F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Musculoskeletal pain*</w:t>
            </w:r>
          </w:p>
        </w:tc>
        <w:tc>
          <w:tcPr>
            <w:tcW w:w="1275" w:type="dxa"/>
            <w:vAlign w:val="center"/>
          </w:tcPr>
          <w:p w14:paraId="313DFDD4" w14:textId="3BD987F9" w:rsidR="0065178F" w:rsidRPr="003A19F1" w:rsidRDefault="0065178F" w:rsidP="0065178F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6 (33%)</w:t>
            </w:r>
          </w:p>
        </w:tc>
        <w:tc>
          <w:tcPr>
            <w:tcW w:w="1252" w:type="dxa"/>
            <w:gridSpan w:val="2"/>
            <w:noWrap/>
            <w:vAlign w:val="center"/>
          </w:tcPr>
          <w:p w14:paraId="323F6A56" w14:textId="09463076" w:rsidR="0065178F" w:rsidRPr="003A19F1" w:rsidRDefault="0065178F" w:rsidP="0065178F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2 (11%)</w:t>
            </w:r>
          </w:p>
        </w:tc>
        <w:tc>
          <w:tcPr>
            <w:tcW w:w="1253" w:type="dxa"/>
            <w:gridSpan w:val="2"/>
            <w:noWrap/>
            <w:vAlign w:val="center"/>
          </w:tcPr>
          <w:p w14:paraId="45DF212F" w14:textId="23423CCA" w:rsidR="0065178F" w:rsidRPr="003A19F1" w:rsidRDefault="0065178F" w:rsidP="0065178F">
            <w:pPr>
              <w:pStyle w:val="TableContent"/>
              <w:rPr>
                <w:lang w:val="en-GB"/>
              </w:rPr>
            </w:pPr>
          </w:p>
        </w:tc>
        <w:tc>
          <w:tcPr>
            <w:tcW w:w="1253" w:type="dxa"/>
            <w:gridSpan w:val="2"/>
            <w:noWrap/>
            <w:vAlign w:val="center"/>
          </w:tcPr>
          <w:p w14:paraId="1C08EDE7" w14:textId="77777777" w:rsidR="0065178F" w:rsidRPr="003A19F1" w:rsidRDefault="0065178F" w:rsidP="0065178F">
            <w:pPr>
              <w:pStyle w:val="TableContent"/>
              <w:rPr>
                <w:lang w:val="en-GB"/>
              </w:rPr>
            </w:pPr>
          </w:p>
        </w:tc>
        <w:tc>
          <w:tcPr>
            <w:tcW w:w="1253" w:type="dxa"/>
            <w:gridSpan w:val="2"/>
            <w:noWrap/>
          </w:tcPr>
          <w:p w14:paraId="1D9B8AFD" w14:textId="77777777" w:rsidR="0065178F" w:rsidRPr="003A19F1" w:rsidRDefault="0065178F" w:rsidP="0065178F">
            <w:pPr>
              <w:pStyle w:val="TableContent"/>
              <w:rPr>
                <w:lang w:val="en-GB"/>
              </w:rPr>
            </w:pPr>
          </w:p>
        </w:tc>
      </w:tr>
      <w:tr w:rsidR="0065178F" w:rsidRPr="00B33200" w14:paraId="4C856000" w14:textId="77777777" w:rsidTr="00F36B24">
        <w:trPr>
          <w:trHeight w:val="300"/>
        </w:trPr>
        <w:tc>
          <w:tcPr>
            <w:tcW w:w="3261" w:type="dxa"/>
            <w:noWrap/>
            <w:vAlign w:val="center"/>
          </w:tcPr>
          <w:p w14:paraId="0E68959E" w14:textId="395EDE9D" w:rsidR="0065178F" w:rsidRPr="003A19F1" w:rsidRDefault="0065178F" w:rsidP="0065178F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Diarrhoea*</w:t>
            </w:r>
          </w:p>
        </w:tc>
        <w:tc>
          <w:tcPr>
            <w:tcW w:w="1275" w:type="dxa"/>
            <w:vAlign w:val="center"/>
          </w:tcPr>
          <w:p w14:paraId="5D407FC6" w14:textId="078EFA5D" w:rsidR="0065178F" w:rsidRPr="003A19F1" w:rsidRDefault="0065178F" w:rsidP="0065178F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5 (28%)</w:t>
            </w:r>
          </w:p>
        </w:tc>
        <w:tc>
          <w:tcPr>
            <w:tcW w:w="1252" w:type="dxa"/>
            <w:gridSpan w:val="2"/>
            <w:noWrap/>
            <w:vAlign w:val="center"/>
          </w:tcPr>
          <w:p w14:paraId="0E72C3AC" w14:textId="5BBCE93C" w:rsidR="0065178F" w:rsidRPr="003A19F1" w:rsidRDefault="0065178F" w:rsidP="0065178F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&lt; 10%</w:t>
            </w:r>
          </w:p>
        </w:tc>
        <w:tc>
          <w:tcPr>
            <w:tcW w:w="1253" w:type="dxa"/>
            <w:gridSpan w:val="2"/>
            <w:noWrap/>
            <w:vAlign w:val="center"/>
          </w:tcPr>
          <w:p w14:paraId="63C950CF" w14:textId="132786A6" w:rsidR="0065178F" w:rsidRPr="003A19F1" w:rsidRDefault="0065178F" w:rsidP="0065178F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2 (11%)</w:t>
            </w:r>
          </w:p>
        </w:tc>
        <w:tc>
          <w:tcPr>
            <w:tcW w:w="1253" w:type="dxa"/>
            <w:gridSpan w:val="2"/>
            <w:noWrap/>
            <w:vAlign w:val="center"/>
          </w:tcPr>
          <w:p w14:paraId="3D2DFF4C" w14:textId="77777777" w:rsidR="0065178F" w:rsidRPr="003A19F1" w:rsidRDefault="0065178F" w:rsidP="0065178F">
            <w:pPr>
              <w:pStyle w:val="TableContent"/>
              <w:rPr>
                <w:lang w:val="en-GB"/>
              </w:rPr>
            </w:pPr>
          </w:p>
        </w:tc>
        <w:tc>
          <w:tcPr>
            <w:tcW w:w="1253" w:type="dxa"/>
            <w:gridSpan w:val="2"/>
            <w:noWrap/>
          </w:tcPr>
          <w:p w14:paraId="28A7E83E" w14:textId="77777777" w:rsidR="0065178F" w:rsidRPr="003A19F1" w:rsidRDefault="0065178F" w:rsidP="0065178F">
            <w:pPr>
              <w:pStyle w:val="TableContent"/>
              <w:rPr>
                <w:lang w:val="en-GB"/>
              </w:rPr>
            </w:pPr>
          </w:p>
        </w:tc>
      </w:tr>
      <w:tr w:rsidR="0065178F" w:rsidRPr="00B33200" w14:paraId="3E294C28" w14:textId="77777777" w:rsidTr="00F36B24">
        <w:trPr>
          <w:trHeight w:val="300"/>
        </w:trPr>
        <w:tc>
          <w:tcPr>
            <w:tcW w:w="3261" w:type="dxa"/>
            <w:noWrap/>
            <w:vAlign w:val="center"/>
            <w:hideMark/>
          </w:tcPr>
          <w:p w14:paraId="33C0B2CC" w14:textId="6E653F01" w:rsidR="0065178F" w:rsidRPr="003A19F1" w:rsidRDefault="0065178F" w:rsidP="0065178F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Dyspnoea*</w:t>
            </w:r>
          </w:p>
        </w:tc>
        <w:tc>
          <w:tcPr>
            <w:tcW w:w="1275" w:type="dxa"/>
            <w:vAlign w:val="center"/>
          </w:tcPr>
          <w:p w14:paraId="02980AF0" w14:textId="3D2F0C1D" w:rsidR="0065178F" w:rsidRPr="003A19F1" w:rsidRDefault="0065178F" w:rsidP="0065178F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4 (22%)</w:t>
            </w:r>
          </w:p>
        </w:tc>
        <w:tc>
          <w:tcPr>
            <w:tcW w:w="1252" w:type="dxa"/>
            <w:gridSpan w:val="2"/>
            <w:noWrap/>
            <w:vAlign w:val="center"/>
          </w:tcPr>
          <w:p w14:paraId="1DE84FF6" w14:textId="50F08D06" w:rsidR="0065178F" w:rsidRPr="003A19F1" w:rsidRDefault="0065178F" w:rsidP="0065178F">
            <w:pPr>
              <w:pStyle w:val="TableContent"/>
              <w:rPr>
                <w:lang w:val="en-GB"/>
              </w:rPr>
            </w:pPr>
          </w:p>
        </w:tc>
        <w:tc>
          <w:tcPr>
            <w:tcW w:w="1253" w:type="dxa"/>
            <w:gridSpan w:val="2"/>
            <w:noWrap/>
            <w:vAlign w:val="center"/>
          </w:tcPr>
          <w:p w14:paraId="745061BD" w14:textId="375F0CE0" w:rsidR="0065178F" w:rsidRPr="003A19F1" w:rsidRDefault="0065178F" w:rsidP="0065178F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2(11%)</w:t>
            </w:r>
          </w:p>
        </w:tc>
        <w:tc>
          <w:tcPr>
            <w:tcW w:w="1253" w:type="dxa"/>
            <w:gridSpan w:val="2"/>
            <w:noWrap/>
            <w:vAlign w:val="center"/>
          </w:tcPr>
          <w:p w14:paraId="4AC28A8B" w14:textId="77777777" w:rsidR="0065178F" w:rsidRPr="003A19F1" w:rsidRDefault="0065178F" w:rsidP="0065178F">
            <w:pPr>
              <w:pStyle w:val="TableContent"/>
              <w:rPr>
                <w:lang w:val="en-GB"/>
              </w:rPr>
            </w:pPr>
          </w:p>
        </w:tc>
        <w:tc>
          <w:tcPr>
            <w:tcW w:w="1253" w:type="dxa"/>
            <w:gridSpan w:val="2"/>
            <w:noWrap/>
            <w:hideMark/>
          </w:tcPr>
          <w:p w14:paraId="2449CC24" w14:textId="77777777" w:rsidR="0065178F" w:rsidRPr="003A19F1" w:rsidRDefault="0065178F" w:rsidP="0065178F">
            <w:pPr>
              <w:pStyle w:val="TableContent"/>
              <w:rPr>
                <w:lang w:val="en-GB"/>
              </w:rPr>
            </w:pPr>
          </w:p>
        </w:tc>
      </w:tr>
      <w:tr w:rsidR="0065178F" w:rsidRPr="00B33200" w14:paraId="0BD315D6" w14:textId="77777777" w:rsidTr="00F36B24">
        <w:trPr>
          <w:trHeight w:val="300"/>
        </w:trPr>
        <w:tc>
          <w:tcPr>
            <w:tcW w:w="3261" w:type="dxa"/>
            <w:noWrap/>
            <w:vAlign w:val="center"/>
          </w:tcPr>
          <w:p w14:paraId="515B7485" w14:textId="547DC437" w:rsidR="0065178F" w:rsidRPr="003A19F1" w:rsidRDefault="0065178F" w:rsidP="0065178F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Lymphoedema</w:t>
            </w:r>
          </w:p>
        </w:tc>
        <w:tc>
          <w:tcPr>
            <w:tcW w:w="1275" w:type="dxa"/>
            <w:vAlign w:val="center"/>
          </w:tcPr>
          <w:p w14:paraId="3C91F1ED" w14:textId="77DD5FD2" w:rsidR="0065178F" w:rsidRPr="003A19F1" w:rsidRDefault="0065178F" w:rsidP="0065178F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3 (17%)</w:t>
            </w:r>
          </w:p>
        </w:tc>
        <w:tc>
          <w:tcPr>
            <w:tcW w:w="1252" w:type="dxa"/>
            <w:gridSpan w:val="2"/>
            <w:noWrap/>
            <w:vAlign w:val="center"/>
          </w:tcPr>
          <w:p w14:paraId="45FAE23F" w14:textId="02B2066F" w:rsidR="0065178F" w:rsidRPr="003A19F1" w:rsidRDefault="0065178F" w:rsidP="0065178F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2 (11%)</w:t>
            </w:r>
          </w:p>
        </w:tc>
        <w:tc>
          <w:tcPr>
            <w:tcW w:w="1253" w:type="dxa"/>
            <w:gridSpan w:val="2"/>
            <w:noWrap/>
            <w:vAlign w:val="center"/>
          </w:tcPr>
          <w:p w14:paraId="44C659DC" w14:textId="77777777" w:rsidR="0065178F" w:rsidRPr="003A19F1" w:rsidRDefault="0065178F" w:rsidP="0065178F">
            <w:pPr>
              <w:pStyle w:val="TableContent"/>
              <w:rPr>
                <w:lang w:val="en-GB"/>
              </w:rPr>
            </w:pPr>
          </w:p>
        </w:tc>
        <w:tc>
          <w:tcPr>
            <w:tcW w:w="1253" w:type="dxa"/>
            <w:gridSpan w:val="2"/>
            <w:noWrap/>
            <w:vAlign w:val="center"/>
          </w:tcPr>
          <w:p w14:paraId="08723800" w14:textId="77777777" w:rsidR="0065178F" w:rsidRPr="003A19F1" w:rsidRDefault="0065178F" w:rsidP="0065178F">
            <w:pPr>
              <w:pStyle w:val="TableContent"/>
              <w:rPr>
                <w:lang w:val="en-GB"/>
              </w:rPr>
            </w:pPr>
          </w:p>
        </w:tc>
        <w:tc>
          <w:tcPr>
            <w:tcW w:w="1253" w:type="dxa"/>
            <w:gridSpan w:val="2"/>
            <w:noWrap/>
            <w:vAlign w:val="center"/>
          </w:tcPr>
          <w:p w14:paraId="20DAFAC5" w14:textId="77777777" w:rsidR="0065178F" w:rsidRPr="003A19F1" w:rsidRDefault="0065178F" w:rsidP="0065178F">
            <w:pPr>
              <w:pStyle w:val="TableContent"/>
              <w:rPr>
                <w:lang w:val="en-GB"/>
              </w:rPr>
            </w:pPr>
          </w:p>
        </w:tc>
      </w:tr>
      <w:tr w:rsidR="0065178F" w:rsidRPr="00B33200" w14:paraId="62402920" w14:textId="77777777" w:rsidTr="00F36B24">
        <w:trPr>
          <w:trHeight w:val="300"/>
        </w:trPr>
        <w:tc>
          <w:tcPr>
            <w:tcW w:w="3261" w:type="dxa"/>
            <w:noWrap/>
            <w:vAlign w:val="center"/>
            <w:hideMark/>
          </w:tcPr>
          <w:p w14:paraId="3BF9640C" w14:textId="02AD8FA5" w:rsidR="0065178F" w:rsidRPr="003A19F1" w:rsidRDefault="0065178F" w:rsidP="0065178F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Polyneuropathy</w:t>
            </w:r>
          </w:p>
        </w:tc>
        <w:tc>
          <w:tcPr>
            <w:tcW w:w="1275" w:type="dxa"/>
            <w:vAlign w:val="center"/>
          </w:tcPr>
          <w:p w14:paraId="697FE7C4" w14:textId="576C4CB6" w:rsidR="0065178F" w:rsidRPr="003A19F1" w:rsidRDefault="0065178F" w:rsidP="0065178F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3 (17%)</w:t>
            </w:r>
          </w:p>
        </w:tc>
        <w:tc>
          <w:tcPr>
            <w:tcW w:w="1252" w:type="dxa"/>
            <w:gridSpan w:val="2"/>
            <w:noWrap/>
            <w:vAlign w:val="center"/>
          </w:tcPr>
          <w:p w14:paraId="6AEB2803" w14:textId="77777777" w:rsidR="0065178F" w:rsidRPr="003A19F1" w:rsidRDefault="0065178F" w:rsidP="0065178F">
            <w:pPr>
              <w:pStyle w:val="TableContent"/>
              <w:rPr>
                <w:lang w:val="en-GB"/>
              </w:rPr>
            </w:pPr>
          </w:p>
        </w:tc>
        <w:tc>
          <w:tcPr>
            <w:tcW w:w="1253" w:type="dxa"/>
            <w:gridSpan w:val="2"/>
            <w:noWrap/>
            <w:vAlign w:val="center"/>
          </w:tcPr>
          <w:p w14:paraId="5A6AE4D0" w14:textId="70C7D38D" w:rsidR="0065178F" w:rsidRPr="003A19F1" w:rsidRDefault="0065178F" w:rsidP="0065178F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1 (6%)</w:t>
            </w:r>
          </w:p>
        </w:tc>
        <w:tc>
          <w:tcPr>
            <w:tcW w:w="1253" w:type="dxa"/>
            <w:gridSpan w:val="2"/>
            <w:noWrap/>
            <w:vAlign w:val="center"/>
          </w:tcPr>
          <w:p w14:paraId="51D8E4CA" w14:textId="77777777" w:rsidR="0065178F" w:rsidRPr="003A19F1" w:rsidRDefault="0065178F" w:rsidP="0065178F">
            <w:pPr>
              <w:pStyle w:val="TableContent"/>
              <w:rPr>
                <w:lang w:val="en-GB"/>
              </w:rPr>
            </w:pPr>
          </w:p>
        </w:tc>
        <w:tc>
          <w:tcPr>
            <w:tcW w:w="1253" w:type="dxa"/>
            <w:gridSpan w:val="2"/>
            <w:noWrap/>
            <w:vAlign w:val="center"/>
            <w:hideMark/>
          </w:tcPr>
          <w:p w14:paraId="08CE0270" w14:textId="77777777" w:rsidR="0065178F" w:rsidRPr="003A19F1" w:rsidRDefault="0065178F" w:rsidP="0065178F">
            <w:pPr>
              <w:pStyle w:val="TableContent"/>
              <w:rPr>
                <w:lang w:val="en-GB"/>
              </w:rPr>
            </w:pPr>
          </w:p>
        </w:tc>
      </w:tr>
      <w:tr w:rsidR="0065178F" w:rsidRPr="00B33200" w14:paraId="04440C3C" w14:textId="77777777" w:rsidTr="00F36B24">
        <w:trPr>
          <w:trHeight w:val="300"/>
        </w:trPr>
        <w:tc>
          <w:tcPr>
            <w:tcW w:w="3261" w:type="dxa"/>
            <w:noWrap/>
            <w:vAlign w:val="center"/>
          </w:tcPr>
          <w:p w14:paraId="5276916E" w14:textId="3D0BC0EF" w:rsidR="0065178F" w:rsidRPr="003A19F1" w:rsidRDefault="0065178F" w:rsidP="0065178F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Dyspepsia</w:t>
            </w:r>
          </w:p>
        </w:tc>
        <w:tc>
          <w:tcPr>
            <w:tcW w:w="1275" w:type="dxa"/>
            <w:vAlign w:val="center"/>
          </w:tcPr>
          <w:p w14:paraId="29B61CE0" w14:textId="06F55C48" w:rsidR="0065178F" w:rsidRPr="003A19F1" w:rsidRDefault="0065178F" w:rsidP="0065178F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2 (11%)</w:t>
            </w:r>
          </w:p>
        </w:tc>
        <w:tc>
          <w:tcPr>
            <w:tcW w:w="1252" w:type="dxa"/>
            <w:gridSpan w:val="2"/>
            <w:noWrap/>
            <w:vAlign w:val="center"/>
          </w:tcPr>
          <w:p w14:paraId="4A7E9724" w14:textId="0DE1E643" w:rsidR="0065178F" w:rsidRPr="003A19F1" w:rsidRDefault="0065178F" w:rsidP="0065178F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2 (11%)</w:t>
            </w:r>
          </w:p>
        </w:tc>
        <w:tc>
          <w:tcPr>
            <w:tcW w:w="1253" w:type="dxa"/>
            <w:gridSpan w:val="2"/>
            <w:noWrap/>
            <w:vAlign w:val="center"/>
          </w:tcPr>
          <w:p w14:paraId="75790AC7" w14:textId="2E4B6358" w:rsidR="0065178F" w:rsidRPr="003A19F1" w:rsidRDefault="0065178F" w:rsidP="0065178F">
            <w:pPr>
              <w:pStyle w:val="TableContent"/>
              <w:rPr>
                <w:lang w:val="en-GB"/>
              </w:rPr>
            </w:pPr>
          </w:p>
        </w:tc>
        <w:tc>
          <w:tcPr>
            <w:tcW w:w="1253" w:type="dxa"/>
            <w:gridSpan w:val="2"/>
            <w:noWrap/>
            <w:vAlign w:val="center"/>
          </w:tcPr>
          <w:p w14:paraId="3F9F782B" w14:textId="77777777" w:rsidR="0065178F" w:rsidRPr="003A19F1" w:rsidRDefault="0065178F" w:rsidP="0065178F">
            <w:pPr>
              <w:pStyle w:val="TableContent"/>
              <w:rPr>
                <w:lang w:val="en-GB"/>
              </w:rPr>
            </w:pPr>
          </w:p>
        </w:tc>
        <w:tc>
          <w:tcPr>
            <w:tcW w:w="1253" w:type="dxa"/>
            <w:gridSpan w:val="2"/>
            <w:noWrap/>
            <w:vAlign w:val="center"/>
          </w:tcPr>
          <w:p w14:paraId="63D1D778" w14:textId="77777777" w:rsidR="0065178F" w:rsidRPr="003A19F1" w:rsidRDefault="0065178F" w:rsidP="0065178F">
            <w:pPr>
              <w:pStyle w:val="TableContent"/>
              <w:rPr>
                <w:lang w:val="en-GB"/>
              </w:rPr>
            </w:pPr>
          </w:p>
        </w:tc>
      </w:tr>
      <w:tr w:rsidR="0065178F" w:rsidRPr="00B33200" w14:paraId="70ECC1FB" w14:textId="77777777" w:rsidTr="00F36B24">
        <w:trPr>
          <w:trHeight w:val="300"/>
        </w:trPr>
        <w:tc>
          <w:tcPr>
            <w:tcW w:w="3261" w:type="dxa"/>
            <w:noWrap/>
            <w:vAlign w:val="center"/>
          </w:tcPr>
          <w:p w14:paraId="41961404" w14:textId="1D2EF9FE" w:rsidR="0065178F" w:rsidRPr="003A19F1" w:rsidRDefault="0065178F" w:rsidP="0065178F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Gastroenteritis</w:t>
            </w:r>
          </w:p>
        </w:tc>
        <w:tc>
          <w:tcPr>
            <w:tcW w:w="1275" w:type="dxa"/>
            <w:vAlign w:val="center"/>
          </w:tcPr>
          <w:p w14:paraId="358ABC77" w14:textId="2E3942A4" w:rsidR="0065178F" w:rsidRPr="003A19F1" w:rsidRDefault="0065178F" w:rsidP="0065178F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2 (11%)</w:t>
            </w:r>
          </w:p>
        </w:tc>
        <w:tc>
          <w:tcPr>
            <w:tcW w:w="1252" w:type="dxa"/>
            <w:gridSpan w:val="2"/>
            <w:noWrap/>
            <w:vAlign w:val="center"/>
          </w:tcPr>
          <w:p w14:paraId="266CE0FF" w14:textId="7C4AE52E" w:rsidR="0065178F" w:rsidRPr="003A19F1" w:rsidRDefault="0065178F" w:rsidP="0065178F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&lt; 10%</w:t>
            </w:r>
          </w:p>
        </w:tc>
        <w:tc>
          <w:tcPr>
            <w:tcW w:w="1253" w:type="dxa"/>
            <w:gridSpan w:val="2"/>
            <w:noWrap/>
            <w:vAlign w:val="center"/>
          </w:tcPr>
          <w:p w14:paraId="3A006038" w14:textId="65BE5E59" w:rsidR="0065178F" w:rsidRPr="003A19F1" w:rsidRDefault="0065178F" w:rsidP="0065178F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1 (6%)</w:t>
            </w:r>
          </w:p>
        </w:tc>
        <w:tc>
          <w:tcPr>
            <w:tcW w:w="1253" w:type="dxa"/>
            <w:gridSpan w:val="2"/>
            <w:noWrap/>
            <w:vAlign w:val="center"/>
          </w:tcPr>
          <w:p w14:paraId="3B78060E" w14:textId="77777777" w:rsidR="0065178F" w:rsidRPr="003A19F1" w:rsidRDefault="0065178F" w:rsidP="0065178F">
            <w:pPr>
              <w:pStyle w:val="TableContent"/>
              <w:rPr>
                <w:lang w:val="en-GB"/>
              </w:rPr>
            </w:pPr>
          </w:p>
        </w:tc>
        <w:tc>
          <w:tcPr>
            <w:tcW w:w="1253" w:type="dxa"/>
            <w:gridSpan w:val="2"/>
            <w:noWrap/>
            <w:vAlign w:val="center"/>
          </w:tcPr>
          <w:p w14:paraId="068D2C65" w14:textId="77777777" w:rsidR="0065178F" w:rsidRPr="003A19F1" w:rsidRDefault="0065178F" w:rsidP="0065178F">
            <w:pPr>
              <w:pStyle w:val="TableContent"/>
              <w:rPr>
                <w:lang w:val="en-GB"/>
              </w:rPr>
            </w:pPr>
          </w:p>
        </w:tc>
      </w:tr>
      <w:tr w:rsidR="0065178F" w:rsidRPr="00B33200" w14:paraId="6CE3EEC2" w14:textId="77777777" w:rsidTr="00F36B24">
        <w:trPr>
          <w:trHeight w:val="300"/>
        </w:trPr>
        <w:tc>
          <w:tcPr>
            <w:tcW w:w="3261" w:type="dxa"/>
            <w:noWrap/>
            <w:vAlign w:val="center"/>
          </w:tcPr>
          <w:p w14:paraId="45DAA93A" w14:textId="53367531" w:rsidR="0065178F" w:rsidRPr="003A19F1" w:rsidRDefault="0065178F" w:rsidP="0065178F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Angina pectoris</w:t>
            </w:r>
            <w:r>
              <w:rPr>
                <w:rFonts w:ascii="Calibri" w:hAnsi="Calibri" w:cs="Calibri"/>
                <w:sz w:val="16"/>
                <w:szCs w:val="16"/>
                <w:lang w:val="en-GB"/>
              </w:rPr>
              <w:t> </w:t>
            </w:r>
          </w:p>
        </w:tc>
        <w:tc>
          <w:tcPr>
            <w:tcW w:w="1275" w:type="dxa"/>
            <w:vAlign w:val="center"/>
          </w:tcPr>
          <w:p w14:paraId="709AF766" w14:textId="6B3AB21D" w:rsidR="0065178F" w:rsidRPr="003A19F1" w:rsidRDefault="0065178F" w:rsidP="0065178F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1 (6%)</w:t>
            </w:r>
          </w:p>
        </w:tc>
        <w:tc>
          <w:tcPr>
            <w:tcW w:w="1252" w:type="dxa"/>
            <w:gridSpan w:val="2"/>
            <w:noWrap/>
            <w:vAlign w:val="center"/>
          </w:tcPr>
          <w:p w14:paraId="04120263" w14:textId="45CFF028" w:rsidR="0065178F" w:rsidRPr="003A19F1" w:rsidRDefault="0065178F" w:rsidP="0065178F">
            <w:pPr>
              <w:pStyle w:val="TableContent"/>
              <w:rPr>
                <w:lang w:val="en-GB"/>
              </w:rPr>
            </w:pPr>
          </w:p>
        </w:tc>
        <w:tc>
          <w:tcPr>
            <w:tcW w:w="1253" w:type="dxa"/>
            <w:gridSpan w:val="2"/>
            <w:noWrap/>
            <w:vAlign w:val="center"/>
          </w:tcPr>
          <w:p w14:paraId="41F24D08" w14:textId="322A0D01" w:rsidR="0065178F" w:rsidRPr="003A19F1" w:rsidRDefault="0065178F" w:rsidP="0065178F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1 (6%)</w:t>
            </w:r>
          </w:p>
        </w:tc>
        <w:tc>
          <w:tcPr>
            <w:tcW w:w="1253" w:type="dxa"/>
            <w:gridSpan w:val="2"/>
            <w:noWrap/>
            <w:vAlign w:val="center"/>
          </w:tcPr>
          <w:p w14:paraId="0782072C" w14:textId="77777777" w:rsidR="0065178F" w:rsidRPr="003A19F1" w:rsidRDefault="0065178F" w:rsidP="0065178F">
            <w:pPr>
              <w:pStyle w:val="TableContent"/>
              <w:rPr>
                <w:lang w:val="en-GB"/>
              </w:rPr>
            </w:pPr>
          </w:p>
        </w:tc>
        <w:tc>
          <w:tcPr>
            <w:tcW w:w="1253" w:type="dxa"/>
            <w:gridSpan w:val="2"/>
            <w:noWrap/>
            <w:vAlign w:val="center"/>
          </w:tcPr>
          <w:p w14:paraId="2259DF9A" w14:textId="77777777" w:rsidR="0065178F" w:rsidRPr="003A19F1" w:rsidRDefault="0065178F" w:rsidP="0065178F">
            <w:pPr>
              <w:pStyle w:val="TableContent"/>
              <w:rPr>
                <w:lang w:val="en-GB"/>
              </w:rPr>
            </w:pPr>
          </w:p>
        </w:tc>
      </w:tr>
      <w:tr w:rsidR="0065178F" w:rsidRPr="00B33200" w14:paraId="19D0D240" w14:textId="77777777" w:rsidTr="00F36B24">
        <w:trPr>
          <w:trHeight w:val="300"/>
        </w:trPr>
        <w:tc>
          <w:tcPr>
            <w:tcW w:w="3261" w:type="dxa"/>
            <w:noWrap/>
            <w:vAlign w:val="center"/>
            <w:hideMark/>
          </w:tcPr>
          <w:p w14:paraId="7F4B842E" w14:textId="553CFE7B" w:rsidR="0065178F" w:rsidRPr="003A19F1" w:rsidRDefault="0065178F" w:rsidP="0065178F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Ascites</w:t>
            </w:r>
          </w:p>
        </w:tc>
        <w:tc>
          <w:tcPr>
            <w:tcW w:w="1275" w:type="dxa"/>
            <w:vAlign w:val="center"/>
          </w:tcPr>
          <w:p w14:paraId="0F1AD4B8" w14:textId="1FFB8742" w:rsidR="0065178F" w:rsidRPr="003A19F1" w:rsidRDefault="0065178F" w:rsidP="0065178F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1 (6%)</w:t>
            </w:r>
          </w:p>
        </w:tc>
        <w:tc>
          <w:tcPr>
            <w:tcW w:w="1252" w:type="dxa"/>
            <w:gridSpan w:val="2"/>
            <w:noWrap/>
            <w:vAlign w:val="center"/>
          </w:tcPr>
          <w:p w14:paraId="135F6200" w14:textId="0F80A8E6" w:rsidR="0065178F" w:rsidRPr="003A19F1" w:rsidRDefault="0065178F" w:rsidP="0065178F">
            <w:pPr>
              <w:pStyle w:val="TableContent"/>
              <w:rPr>
                <w:lang w:val="en-GB"/>
              </w:rPr>
            </w:pPr>
          </w:p>
        </w:tc>
        <w:tc>
          <w:tcPr>
            <w:tcW w:w="1253" w:type="dxa"/>
            <w:gridSpan w:val="2"/>
            <w:noWrap/>
            <w:vAlign w:val="center"/>
          </w:tcPr>
          <w:p w14:paraId="4D3F5498" w14:textId="1239328B" w:rsidR="0065178F" w:rsidRPr="003A19F1" w:rsidRDefault="0065178F" w:rsidP="0065178F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1 (6%)</w:t>
            </w:r>
          </w:p>
        </w:tc>
        <w:tc>
          <w:tcPr>
            <w:tcW w:w="1253" w:type="dxa"/>
            <w:gridSpan w:val="2"/>
            <w:noWrap/>
            <w:vAlign w:val="center"/>
          </w:tcPr>
          <w:p w14:paraId="119D26B6" w14:textId="77777777" w:rsidR="0065178F" w:rsidRPr="003A19F1" w:rsidRDefault="0065178F" w:rsidP="0065178F">
            <w:pPr>
              <w:pStyle w:val="TableContent"/>
              <w:rPr>
                <w:lang w:val="en-GB"/>
              </w:rPr>
            </w:pPr>
          </w:p>
        </w:tc>
        <w:tc>
          <w:tcPr>
            <w:tcW w:w="1253" w:type="dxa"/>
            <w:gridSpan w:val="2"/>
            <w:noWrap/>
            <w:vAlign w:val="center"/>
            <w:hideMark/>
          </w:tcPr>
          <w:p w14:paraId="54E2BF46" w14:textId="77777777" w:rsidR="0065178F" w:rsidRPr="003A19F1" w:rsidRDefault="0065178F" w:rsidP="0065178F">
            <w:pPr>
              <w:pStyle w:val="TableContent"/>
              <w:rPr>
                <w:lang w:val="en-GB"/>
              </w:rPr>
            </w:pPr>
          </w:p>
        </w:tc>
      </w:tr>
      <w:tr w:rsidR="0065178F" w:rsidRPr="00B33200" w14:paraId="6B43BED3" w14:textId="77777777" w:rsidTr="00F36B24">
        <w:trPr>
          <w:trHeight w:val="300"/>
        </w:trPr>
        <w:tc>
          <w:tcPr>
            <w:tcW w:w="3261" w:type="dxa"/>
            <w:noWrap/>
            <w:vAlign w:val="center"/>
            <w:hideMark/>
          </w:tcPr>
          <w:p w14:paraId="7B1E915A" w14:textId="55DC42B0" w:rsidR="0065178F" w:rsidRPr="003A19F1" w:rsidRDefault="0065178F" w:rsidP="0065178F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Atrial fibrillation</w:t>
            </w:r>
          </w:p>
        </w:tc>
        <w:tc>
          <w:tcPr>
            <w:tcW w:w="1275" w:type="dxa"/>
            <w:vAlign w:val="center"/>
          </w:tcPr>
          <w:p w14:paraId="5EBB1B0F" w14:textId="7DF7508C" w:rsidR="0065178F" w:rsidRPr="003A19F1" w:rsidRDefault="0065178F" w:rsidP="0065178F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1 (6%)</w:t>
            </w:r>
          </w:p>
        </w:tc>
        <w:tc>
          <w:tcPr>
            <w:tcW w:w="1252" w:type="dxa"/>
            <w:gridSpan w:val="2"/>
            <w:noWrap/>
            <w:vAlign w:val="center"/>
          </w:tcPr>
          <w:p w14:paraId="4B0A07E8" w14:textId="13D9F94F" w:rsidR="0065178F" w:rsidRPr="003A19F1" w:rsidRDefault="0065178F" w:rsidP="0065178F">
            <w:pPr>
              <w:pStyle w:val="TableContent"/>
              <w:rPr>
                <w:lang w:val="en-GB"/>
              </w:rPr>
            </w:pPr>
          </w:p>
        </w:tc>
        <w:tc>
          <w:tcPr>
            <w:tcW w:w="1253" w:type="dxa"/>
            <w:gridSpan w:val="2"/>
            <w:noWrap/>
            <w:vAlign w:val="center"/>
          </w:tcPr>
          <w:p w14:paraId="5ADE39FA" w14:textId="2C3DF549" w:rsidR="0065178F" w:rsidRPr="003A19F1" w:rsidRDefault="0065178F" w:rsidP="0065178F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1 (6%)</w:t>
            </w:r>
          </w:p>
        </w:tc>
        <w:tc>
          <w:tcPr>
            <w:tcW w:w="1253" w:type="dxa"/>
            <w:gridSpan w:val="2"/>
            <w:noWrap/>
            <w:vAlign w:val="center"/>
          </w:tcPr>
          <w:p w14:paraId="1A631ED6" w14:textId="77777777" w:rsidR="0065178F" w:rsidRPr="003A19F1" w:rsidRDefault="0065178F" w:rsidP="0065178F">
            <w:pPr>
              <w:pStyle w:val="TableContent"/>
              <w:rPr>
                <w:lang w:val="en-GB"/>
              </w:rPr>
            </w:pPr>
          </w:p>
        </w:tc>
        <w:tc>
          <w:tcPr>
            <w:tcW w:w="1253" w:type="dxa"/>
            <w:gridSpan w:val="2"/>
            <w:noWrap/>
            <w:vAlign w:val="center"/>
            <w:hideMark/>
          </w:tcPr>
          <w:p w14:paraId="67A2CA9C" w14:textId="77777777" w:rsidR="0065178F" w:rsidRPr="003A19F1" w:rsidRDefault="0065178F" w:rsidP="0065178F">
            <w:pPr>
              <w:pStyle w:val="TableContent"/>
              <w:rPr>
                <w:lang w:val="en-GB"/>
              </w:rPr>
            </w:pPr>
          </w:p>
        </w:tc>
      </w:tr>
      <w:tr w:rsidR="0065178F" w:rsidRPr="00B33200" w14:paraId="0A53D003" w14:textId="77777777" w:rsidTr="00F36B24">
        <w:trPr>
          <w:trHeight w:val="300"/>
        </w:trPr>
        <w:tc>
          <w:tcPr>
            <w:tcW w:w="3261" w:type="dxa"/>
            <w:noWrap/>
            <w:vAlign w:val="center"/>
          </w:tcPr>
          <w:p w14:paraId="20FCA408" w14:textId="5FF7C417" w:rsidR="0065178F" w:rsidRPr="003A19F1" w:rsidRDefault="0065178F" w:rsidP="0065178F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Herpes zoster</w:t>
            </w:r>
          </w:p>
        </w:tc>
        <w:tc>
          <w:tcPr>
            <w:tcW w:w="1275" w:type="dxa"/>
            <w:vAlign w:val="center"/>
          </w:tcPr>
          <w:p w14:paraId="172D98A8" w14:textId="3F2A86A4" w:rsidR="0065178F" w:rsidRPr="003A19F1" w:rsidRDefault="0065178F" w:rsidP="0065178F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1 (6%)</w:t>
            </w:r>
          </w:p>
        </w:tc>
        <w:tc>
          <w:tcPr>
            <w:tcW w:w="1252" w:type="dxa"/>
            <w:gridSpan w:val="2"/>
            <w:noWrap/>
            <w:vAlign w:val="center"/>
          </w:tcPr>
          <w:p w14:paraId="4B461F06" w14:textId="77777777" w:rsidR="0065178F" w:rsidRPr="003A19F1" w:rsidRDefault="0065178F" w:rsidP="0065178F">
            <w:pPr>
              <w:pStyle w:val="TableContent"/>
              <w:rPr>
                <w:lang w:val="en-GB"/>
              </w:rPr>
            </w:pPr>
          </w:p>
        </w:tc>
        <w:tc>
          <w:tcPr>
            <w:tcW w:w="1253" w:type="dxa"/>
            <w:gridSpan w:val="2"/>
            <w:noWrap/>
            <w:vAlign w:val="center"/>
          </w:tcPr>
          <w:p w14:paraId="5C2119A5" w14:textId="5D7C04B6" w:rsidR="0065178F" w:rsidRPr="003A19F1" w:rsidRDefault="0065178F" w:rsidP="0065178F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1 (6%)</w:t>
            </w:r>
          </w:p>
        </w:tc>
        <w:tc>
          <w:tcPr>
            <w:tcW w:w="1253" w:type="dxa"/>
            <w:gridSpan w:val="2"/>
            <w:noWrap/>
            <w:vAlign w:val="center"/>
          </w:tcPr>
          <w:p w14:paraId="7CE1C16E" w14:textId="77777777" w:rsidR="0065178F" w:rsidRPr="003A19F1" w:rsidRDefault="0065178F" w:rsidP="0065178F">
            <w:pPr>
              <w:pStyle w:val="TableContent"/>
              <w:rPr>
                <w:lang w:val="en-GB"/>
              </w:rPr>
            </w:pPr>
          </w:p>
        </w:tc>
        <w:tc>
          <w:tcPr>
            <w:tcW w:w="1253" w:type="dxa"/>
            <w:gridSpan w:val="2"/>
            <w:noWrap/>
            <w:vAlign w:val="center"/>
          </w:tcPr>
          <w:p w14:paraId="7BC687C7" w14:textId="77777777" w:rsidR="0065178F" w:rsidRPr="003A19F1" w:rsidRDefault="0065178F" w:rsidP="0065178F">
            <w:pPr>
              <w:pStyle w:val="TableContent"/>
              <w:rPr>
                <w:lang w:val="en-GB"/>
              </w:rPr>
            </w:pPr>
          </w:p>
        </w:tc>
      </w:tr>
      <w:tr w:rsidR="0065178F" w:rsidRPr="00B33200" w14:paraId="5EBD93C4" w14:textId="77777777" w:rsidTr="00F36B24">
        <w:trPr>
          <w:trHeight w:val="300"/>
        </w:trPr>
        <w:tc>
          <w:tcPr>
            <w:tcW w:w="3261" w:type="dxa"/>
            <w:noWrap/>
            <w:vAlign w:val="center"/>
          </w:tcPr>
          <w:p w14:paraId="4C5FBA29" w14:textId="79CDB0BA" w:rsidR="0065178F" w:rsidRPr="003A19F1" w:rsidRDefault="0065178F" w:rsidP="0065178F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Skin fissures</w:t>
            </w:r>
          </w:p>
        </w:tc>
        <w:tc>
          <w:tcPr>
            <w:tcW w:w="1275" w:type="dxa"/>
            <w:vAlign w:val="center"/>
          </w:tcPr>
          <w:p w14:paraId="0F75A425" w14:textId="6301BE03" w:rsidR="0065178F" w:rsidRPr="003A19F1" w:rsidRDefault="0065178F" w:rsidP="0065178F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1 (6%)</w:t>
            </w:r>
          </w:p>
        </w:tc>
        <w:tc>
          <w:tcPr>
            <w:tcW w:w="1252" w:type="dxa"/>
            <w:gridSpan w:val="2"/>
            <w:noWrap/>
            <w:vAlign w:val="center"/>
          </w:tcPr>
          <w:p w14:paraId="2F26CC7A" w14:textId="77777777" w:rsidR="0065178F" w:rsidRPr="003A19F1" w:rsidRDefault="0065178F" w:rsidP="0065178F">
            <w:pPr>
              <w:pStyle w:val="TableContent"/>
              <w:rPr>
                <w:lang w:val="en-GB"/>
              </w:rPr>
            </w:pPr>
          </w:p>
        </w:tc>
        <w:tc>
          <w:tcPr>
            <w:tcW w:w="1253" w:type="dxa"/>
            <w:gridSpan w:val="2"/>
            <w:noWrap/>
            <w:vAlign w:val="center"/>
          </w:tcPr>
          <w:p w14:paraId="7E7F1E29" w14:textId="54E36F67" w:rsidR="0065178F" w:rsidRPr="003A19F1" w:rsidRDefault="0065178F" w:rsidP="0065178F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1 (6%)</w:t>
            </w:r>
          </w:p>
        </w:tc>
        <w:tc>
          <w:tcPr>
            <w:tcW w:w="1253" w:type="dxa"/>
            <w:gridSpan w:val="2"/>
            <w:noWrap/>
            <w:vAlign w:val="center"/>
          </w:tcPr>
          <w:p w14:paraId="6DB513C9" w14:textId="77777777" w:rsidR="0065178F" w:rsidRPr="003A19F1" w:rsidRDefault="0065178F" w:rsidP="0065178F">
            <w:pPr>
              <w:pStyle w:val="TableContent"/>
              <w:rPr>
                <w:lang w:val="en-GB"/>
              </w:rPr>
            </w:pPr>
          </w:p>
        </w:tc>
        <w:tc>
          <w:tcPr>
            <w:tcW w:w="1253" w:type="dxa"/>
            <w:gridSpan w:val="2"/>
            <w:noWrap/>
            <w:vAlign w:val="center"/>
          </w:tcPr>
          <w:p w14:paraId="56C500D3" w14:textId="77777777" w:rsidR="0065178F" w:rsidRPr="003A19F1" w:rsidRDefault="0065178F" w:rsidP="0065178F">
            <w:pPr>
              <w:pStyle w:val="TableContent"/>
              <w:rPr>
                <w:lang w:val="en-GB"/>
              </w:rPr>
            </w:pPr>
          </w:p>
        </w:tc>
      </w:tr>
      <w:tr w:rsidR="0065178F" w:rsidRPr="00B33200" w14:paraId="3EF3D1C0" w14:textId="77777777" w:rsidTr="00F36B24">
        <w:trPr>
          <w:trHeight w:val="300"/>
        </w:trPr>
        <w:tc>
          <w:tcPr>
            <w:tcW w:w="3261" w:type="dxa"/>
            <w:noWrap/>
            <w:vAlign w:val="center"/>
          </w:tcPr>
          <w:p w14:paraId="29DA9C5F" w14:textId="343594FD" w:rsidR="0065178F" w:rsidRPr="003A19F1" w:rsidRDefault="0065178F" w:rsidP="0065178F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Toothache</w:t>
            </w:r>
          </w:p>
        </w:tc>
        <w:tc>
          <w:tcPr>
            <w:tcW w:w="1275" w:type="dxa"/>
            <w:vAlign w:val="center"/>
          </w:tcPr>
          <w:p w14:paraId="42ADBE01" w14:textId="06A18E32" w:rsidR="0065178F" w:rsidRPr="003A19F1" w:rsidRDefault="0065178F" w:rsidP="0065178F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1 (6%)</w:t>
            </w:r>
          </w:p>
        </w:tc>
        <w:tc>
          <w:tcPr>
            <w:tcW w:w="1252" w:type="dxa"/>
            <w:gridSpan w:val="2"/>
            <w:noWrap/>
            <w:vAlign w:val="center"/>
          </w:tcPr>
          <w:p w14:paraId="1E5F0FDF" w14:textId="77777777" w:rsidR="0065178F" w:rsidRPr="003A19F1" w:rsidRDefault="0065178F" w:rsidP="0065178F">
            <w:pPr>
              <w:pStyle w:val="TableContent"/>
              <w:rPr>
                <w:lang w:val="en-GB"/>
              </w:rPr>
            </w:pPr>
          </w:p>
        </w:tc>
        <w:tc>
          <w:tcPr>
            <w:tcW w:w="1253" w:type="dxa"/>
            <w:gridSpan w:val="2"/>
            <w:noWrap/>
            <w:vAlign w:val="center"/>
          </w:tcPr>
          <w:p w14:paraId="3FF099E1" w14:textId="7ED8D74C" w:rsidR="0065178F" w:rsidRPr="003A19F1" w:rsidRDefault="0065178F" w:rsidP="0065178F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1 (6%)</w:t>
            </w:r>
          </w:p>
        </w:tc>
        <w:tc>
          <w:tcPr>
            <w:tcW w:w="1253" w:type="dxa"/>
            <w:gridSpan w:val="2"/>
            <w:noWrap/>
            <w:vAlign w:val="center"/>
          </w:tcPr>
          <w:p w14:paraId="0C4C2B9A" w14:textId="77777777" w:rsidR="0065178F" w:rsidRPr="003A19F1" w:rsidRDefault="0065178F" w:rsidP="0065178F">
            <w:pPr>
              <w:pStyle w:val="TableContent"/>
              <w:rPr>
                <w:lang w:val="en-GB"/>
              </w:rPr>
            </w:pPr>
          </w:p>
        </w:tc>
        <w:tc>
          <w:tcPr>
            <w:tcW w:w="1253" w:type="dxa"/>
            <w:gridSpan w:val="2"/>
            <w:noWrap/>
            <w:vAlign w:val="center"/>
          </w:tcPr>
          <w:p w14:paraId="613164C5" w14:textId="77777777" w:rsidR="0065178F" w:rsidRPr="003A19F1" w:rsidRDefault="0065178F" w:rsidP="0065178F">
            <w:pPr>
              <w:pStyle w:val="TableContent"/>
              <w:rPr>
                <w:lang w:val="en-GB"/>
              </w:rPr>
            </w:pPr>
          </w:p>
        </w:tc>
      </w:tr>
      <w:tr w:rsidR="0065178F" w:rsidRPr="00B33200" w14:paraId="541A6EBD" w14:textId="77777777" w:rsidTr="00F36B24">
        <w:trPr>
          <w:trHeight w:val="300"/>
        </w:trPr>
        <w:tc>
          <w:tcPr>
            <w:tcW w:w="3261" w:type="dxa"/>
            <w:noWrap/>
            <w:vAlign w:val="center"/>
          </w:tcPr>
          <w:p w14:paraId="2AC29A14" w14:textId="5FC87538" w:rsidR="0065178F" w:rsidRPr="003A19F1" w:rsidRDefault="0065178F" w:rsidP="0065178F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Tooth infection</w:t>
            </w:r>
          </w:p>
        </w:tc>
        <w:tc>
          <w:tcPr>
            <w:tcW w:w="1275" w:type="dxa"/>
            <w:vAlign w:val="center"/>
          </w:tcPr>
          <w:p w14:paraId="069DB741" w14:textId="2845D3DD" w:rsidR="0065178F" w:rsidRPr="003A19F1" w:rsidRDefault="0065178F" w:rsidP="0065178F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1 (6%)</w:t>
            </w:r>
          </w:p>
        </w:tc>
        <w:tc>
          <w:tcPr>
            <w:tcW w:w="1252" w:type="dxa"/>
            <w:gridSpan w:val="2"/>
            <w:noWrap/>
            <w:vAlign w:val="center"/>
          </w:tcPr>
          <w:p w14:paraId="6B8BDEC0" w14:textId="77777777" w:rsidR="0065178F" w:rsidRPr="003A19F1" w:rsidRDefault="0065178F" w:rsidP="0065178F">
            <w:pPr>
              <w:pStyle w:val="TableContent"/>
              <w:rPr>
                <w:lang w:val="en-GB"/>
              </w:rPr>
            </w:pPr>
          </w:p>
        </w:tc>
        <w:tc>
          <w:tcPr>
            <w:tcW w:w="1253" w:type="dxa"/>
            <w:gridSpan w:val="2"/>
            <w:noWrap/>
            <w:vAlign w:val="center"/>
          </w:tcPr>
          <w:p w14:paraId="6FED570B" w14:textId="19DD9C0E" w:rsidR="0065178F" w:rsidRPr="003A19F1" w:rsidRDefault="0065178F" w:rsidP="0065178F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1 (6%)</w:t>
            </w:r>
          </w:p>
        </w:tc>
        <w:tc>
          <w:tcPr>
            <w:tcW w:w="1253" w:type="dxa"/>
            <w:gridSpan w:val="2"/>
            <w:noWrap/>
            <w:vAlign w:val="center"/>
          </w:tcPr>
          <w:p w14:paraId="7F314564" w14:textId="77777777" w:rsidR="0065178F" w:rsidRPr="003A19F1" w:rsidRDefault="0065178F" w:rsidP="0065178F">
            <w:pPr>
              <w:pStyle w:val="TableContent"/>
              <w:rPr>
                <w:lang w:val="en-GB"/>
              </w:rPr>
            </w:pPr>
          </w:p>
        </w:tc>
        <w:tc>
          <w:tcPr>
            <w:tcW w:w="1253" w:type="dxa"/>
            <w:gridSpan w:val="2"/>
            <w:noWrap/>
            <w:vAlign w:val="center"/>
          </w:tcPr>
          <w:p w14:paraId="20400C09" w14:textId="77777777" w:rsidR="0065178F" w:rsidRPr="003A19F1" w:rsidRDefault="0065178F" w:rsidP="0065178F">
            <w:pPr>
              <w:pStyle w:val="TableContent"/>
              <w:rPr>
                <w:lang w:val="en-GB"/>
              </w:rPr>
            </w:pPr>
          </w:p>
        </w:tc>
      </w:tr>
      <w:tr w:rsidR="0065178F" w:rsidRPr="00B33200" w14:paraId="401A29F7" w14:textId="77777777" w:rsidTr="00F36B24">
        <w:trPr>
          <w:trHeight w:val="300"/>
        </w:trPr>
        <w:tc>
          <w:tcPr>
            <w:tcW w:w="3261" w:type="dxa"/>
            <w:noWrap/>
            <w:vAlign w:val="center"/>
            <w:hideMark/>
          </w:tcPr>
          <w:p w14:paraId="15172EB7" w14:textId="72EA277B" w:rsidR="0065178F" w:rsidRPr="003A19F1" w:rsidRDefault="0065178F" w:rsidP="0065178F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Hand-foot syndrome*</w:t>
            </w:r>
          </w:p>
        </w:tc>
        <w:tc>
          <w:tcPr>
            <w:tcW w:w="1275" w:type="dxa"/>
            <w:vAlign w:val="center"/>
          </w:tcPr>
          <w:p w14:paraId="3567E518" w14:textId="1BF97EEA" w:rsidR="0065178F" w:rsidRPr="003A19F1" w:rsidRDefault="0065178F" w:rsidP="0065178F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13 (72%)</w:t>
            </w:r>
          </w:p>
        </w:tc>
        <w:tc>
          <w:tcPr>
            <w:tcW w:w="1252" w:type="dxa"/>
            <w:gridSpan w:val="2"/>
            <w:noWrap/>
            <w:vAlign w:val="center"/>
          </w:tcPr>
          <w:p w14:paraId="6DCC8F8D" w14:textId="4D8699C5" w:rsidR="0065178F" w:rsidRPr="003A19F1" w:rsidRDefault="0065178F" w:rsidP="0065178F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4 (22%)</w:t>
            </w:r>
          </w:p>
        </w:tc>
        <w:tc>
          <w:tcPr>
            <w:tcW w:w="1253" w:type="dxa"/>
            <w:gridSpan w:val="2"/>
            <w:noWrap/>
            <w:vAlign w:val="center"/>
          </w:tcPr>
          <w:p w14:paraId="5BABF926" w14:textId="3FC5EE56" w:rsidR="0065178F" w:rsidRPr="003A19F1" w:rsidRDefault="0065178F" w:rsidP="0065178F">
            <w:pPr>
              <w:pStyle w:val="TableContent"/>
              <w:rPr>
                <w:lang w:val="en-GB"/>
              </w:rPr>
            </w:pPr>
            <w:r>
              <w:rPr>
                <w:szCs w:val="20"/>
                <w:lang w:val="en-GB"/>
              </w:rPr>
              <w:t>5 (28%)</w:t>
            </w:r>
          </w:p>
        </w:tc>
        <w:tc>
          <w:tcPr>
            <w:tcW w:w="1253" w:type="dxa"/>
            <w:gridSpan w:val="2"/>
            <w:noWrap/>
            <w:vAlign w:val="center"/>
          </w:tcPr>
          <w:p w14:paraId="6F821A6B" w14:textId="77777777" w:rsidR="0065178F" w:rsidRPr="003A19F1" w:rsidRDefault="0065178F" w:rsidP="0065178F">
            <w:pPr>
              <w:pStyle w:val="TableContent"/>
              <w:rPr>
                <w:lang w:val="en-GB"/>
              </w:rPr>
            </w:pPr>
          </w:p>
        </w:tc>
        <w:tc>
          <w:tcPr>
            <w:tcW w:w="1253" w:type="dxa"/>
            <w:gridSpan w:val="2"/>
            <w:noWrap/>
            <w:hideMark/>
          </w:tcPr>
          <w:p w14:paraId="6D3C5F1F" w14:textId="77777777" w:rsidR="0065178F" w:rsidRPr="003A19F1" w:rsidRDefault="0065178F" w:rsidP="0065178F">
            <w:pPr>
              <w:pStyle w:val="TableContent"/>
              <w:rPr>
                <w:lang w:val="en-GB"/>
              </w:rPr>
            </w:pPr>
          </w:p>
        </w:tc>
      </w:tr>
      <w:tr w:rsidR="00283AA5" w:rsidRPr="00B33200" w14:paraId="51635AA7" w14:textId="77777777" w:rsidTr="00F36B24">
        <w:trPr>
          <w:trHeight w:val="30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6C8AC64" w14:textId="77777777" w:rsidR="00283AA5" w:rsidRPr="003A19F1" w:rsidRDefault="00283AA5" w:rsidP="004F5CEA">
            <w:pPr>
              <w:pStyle w:val="TableContent"/>
              <w:rPr>
                <w:b/>
                <w:bCs/>
                <w:lang w:val="en-GB"/>
              </w:rPr>
            </w:pPr>
            <w:r w:rsidRPr="003A19F1">
              <w:rPr>
                <w:b/>
                <w:bCs/>
                <w:lang w:val="en-GB"/>
              </w:rPr>
              <w:t>Haematological adverse events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B8A52FE" w14:textId="77777777" w:rsidR="00283AA5" w:rsidRPr="003A19F1" w:rsidRDefault="00283AA5" w:rsidP="004F5CEA">
            <w:pPr>
              <w:pStyle w:val="TableContent"/>
              <w:rPr>
                <w:b/>
                <w:bCs/>
                <w:lang w:val="en-GB"/>
              </w:rPr>
            </w:pPr>
            <w:r w:rsidRPr="003A19F1">
              <w:rPr>
                <w:b/>
                <w:bCs/>
                <w:lang w:val="en-GB"/>
              </w:rPr>
              <w:t>All grades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49EABDF" w14:textId="77777777" w:rsidR="00283AA5" w:rsidRPr="003A19F1" w:rsidRDefault="00283AA5" w:rsidP="004F5CEA">
            <w:pPr>
              <w:pStyle w:val="TableContent"/>
              <w:rPr>
                <w:b/>
                <w:bCs/>
                <w:lang w:val="en-GB"/>
              </w:rPr>
            </w:pPr>
            <w:r w:rsidRPr="003A19F1">
              <w:rPr>
                <w:b/>
                <w:bCs/>
                <w:lang w:val="en-GB"/>
              </w:rPr>
              <w:t>Grade 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6345C6E" w14:textId="77777777" w:rsidR="00283AA5" w:rsidRPr="003A19F1" w:rsidRDefault="00283AA5" w:rsidP="004F5CEA">
            <w:pPr>
              <w:pStyle w:val="TableContent"/>
              <w:rPr>
                <w:b/>
                <w:bCs/>
                <w:lang w:val="en-GB"/>
              </w:rPr>
            </w:pPr>
            <w:r w:rsidRPr="003A19F1">
              <w:rPr>
                <w:b/>
                <w:bCs/>
                <w:lang w:val="en-GB"/>
              </w:rPr>
              <w:t>Grade 3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1CAE0AB" w14:textId="77777777" w:rsidR="00283AA5" w:rsidRPr="003A19F1" w:rsidRDefault="00283AA5" w:rsidP="004F5CEA">
            <w:pPr>
              <w:pStyle w:val="TableContent"/>
              <w:rPr>
                <w:b/>
                <w:bCs/>
                <w:lang w:val="en-GB"/>
              </w:rPr>
            </w:pPr>
            <w:r w:rsidRPr="003A19F1">
              <w:rPr>
                <w:b/>
                <w:bCs/>
                <w:lang w:val="en-GB"/>
              </w:rPr>
              <w:t>Grade 4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F19F1EF" w14:textId="77777777" w:rsidR="00283AA5" w:rsidRPr="003A19F1" w:rsidRDefault="00283AA5" w:rsidP="004F5CEA">
            <w:pPr>
              <w:pStyle w:val="TableContent"/>
              <w:rPr>
                <w:b/>
                <w:bCs/>
                <w:lang w:val="en-GB"/>
              </w:rPr>
            </w:pPr>
            <w:r w:rsidRPr="003A19F1">
              <w:rPr>
                <w:b/>
                <w:bCs/>
                <w:lang w:val="en-GB"/>
              </w:rPr>
              <w:t>Grade 5</w:t>
            </w:r>
          </w:p>
        </w:tc>
      </w:tr>
      <w:tr w:rsidR="00283AA5" w:rsidRPr="00B33200" w14:paraId="447EC4A4" w14:textId="77777777" w:rsidTr="00F36B24">
        <w:trPr>
          <w:trHeight w:val="300"/>
        </w:trPr>
        <w:tc>
          <w:tcPr>
            <w:tcW w:w="3261" w:type="dxa"/>
            <w:noWrap/>
            <w:hideMark/>
          </w:tcPr>
          <w:p w14:paraId="6B99AA2F" w14:textId="77777777" w:rsidR="00283AA5" w:rsidRPr="003A19F1" w:rsidRDefault="00283AA5" w:rsidP="004F5CEA">
            <w:pPr>
              <w:pStyle w:val="TableContent"/>
              <w:rPr>
                <w:lang w:val="en-GB"/>
              </w:rPr>
            </w:pPr>
            <w:r w:rsidRPr="003A19F1">
              <w:rPr>
                <w:lang w:val="en-GB"/>
              </w:rPr>
              <w:t>Leukopenia</w:t>
            </w:r>
          </w:p>
        </w:tc>
        <w:tc>
          <w:tcPr>
            <w:tcW w:w="1275" w:type="dxa"/>
          </w:tcPr>
          <w:p w14:paraId="0122AE09" w14:textId="77777777" w:rsidR="00283AA5" w:rsidRPr="003A19F1" w:rsidRDefault="00283AA5" w:rsidP="004F5CEA">
            <w:pPr>
              <w:pStyle w:val="TableContent"/>
              <w:rPr>
                <w:lang w:val="en-GB"/>
              </w:rPr>
            </w:pPr>
            <w:r w:rsidRPr="003A19F1">
              <w:rPr>
                <w:lang w:val="en-GB"/>
              </w:rPr>
              <w:t>3 (17%)</w:t>
            </w:r>
          </w:p>
        </w:tc>
        <w:tc>
          <w:tcPr>
            <w:tcW w:w="1252" w:type="dxa"/>
            <w:gridSpan w:val="2"/>
            <w:noWrap/>
          </w:tcPr>
          <w:p w14:paraId="2A7B448C" w14:textId="77777777" w:rsidR="00283AA5" w:rsidRPr="003A19F1" w:rsidRDefault="00283AA5" w:rsidP="004F5CEA">
            <w:pPr>
              <w:pStyle w:val="TableContent"/>
              <w:rPr>
                <w:lang w:val="en-GB"/>
              </w:rPr>
            </w:pPr>
            <w:r w:rsidRPr="003A19F1">
              <w:rPr>
                <w:lang w:val="en-GB"/>
              </w:rPr>
              <w:t>&lt; 10%</w:t>
            </w:r>
          </w:p>
        </w:tc>
        <w:tc>
          <w:tcPr>
            <w:tcW w:w="1253" w:type="dxa"/>
            <w:gridSpan w:val="2"/>
            <w:noWrap/>
          </w:tcPr>
          <w:p w14:paraId="560167F4" w14:textId="77777777" w:rsidR="00283AA5" w:rsidRPr="003A19F1" w:rsidRDefault="00283AA5" w:rsidP="004F5CEA">
            <w:pPr>
              <w:pStyle w:val="TableContent"/>
              <w:rPr>
                <w:lang w:val="en-GB"/>
              </w:rPr>
            </w:pPr>
          </w:p>
        </w:tc>
        <w:tc>
          <w:tcPr>
            <w:tcW w:w="1253" w:type="dxa"/>
            <w:gridSpan w:val="2"/>
            <w:noWrap/>
          </w:tcPr>
          <w:p w14:paraId="0EFDF0B8" w14:textId="77777777" w:rsidR="00283AA5" w:rsidRPr="003A19F1" w:rsidRDefault="00283AA5" w:rsidP="004F5CEA">
            <w:pPr>
              <w:pStyle w:val="TableContent"/>
              <w:rPr>
                <w:lang w:val="en-GB"/>
              </w:rPr>
            </w:pPr>
            <w:r w:rsidRPr="003A19F1">
              <w:rPr>
                <w:lang w:val="en-GB"/>
              </w:rPr>
              <w:t>1 (6%)</w:t>
            </w:r>
          </w:p>
        </w:tc>
        <w:tc>
          <w:tcPr>
            <w:tcW w:w="1253" w:type="dxa"/>
            <w:gridSpan w:val="2"/>
            <w:noWrap/>
          </w:tcPr>
          <w:p w14:paraId="3F088262" w14:textId="77777777" w:rsidR="00283AA5" w:rsidRPr="003A19F1" w:rsidRDefault="00283AA5" w:rsidP="004F5CEA">
            <w:pPr>
              <w:pStyle w:val="TableContent"/>
              <w:rPr>
                <w:lang w:val="en-GB"/>
              </w:rPr>
            </w:pPr>
          </w:p>
        </w:tc>
      </w:tr>
      <w:tr w:rsidR="00283AA5" w:rsidRPr="00B33200" w14:paraId="1920E386" w14:textId="77777777" w:rsidTr="00F36B24">
        <w:trPr>
          <w:trHeight w:val="300"/>
        </w:trPr>
        <w:tc>
          <w:tcPr>
            <w:tcW w:w="3261" w:type="dxa"/>
            <w:tcBorders>
              <w:bottom w:val="single" w:sz="4" w:space="0" w:color="auto"/>
            </w:tcBorders>
            <w:noWrap/>
            <w:hideMark/>
          </w:tcPr>
          <w:p w14:paraId="4E4A95A7" w14:textId="77777777" w:rsidR="00283AA5" w:rsidRPr="003A19F1" w:rsidRDefault="00283AA5" w:rsidP="004F5CEA">
            <w:pPr>
              <w:pStyle w:val="TableContent"/>
              <w:rPr>
                <w:lang w:val="en-GB"/>
              </w:rPr>
            </w:pPr>
            <w:r w:rsidRPr="003A19F1">
              <w:rPr>
                <w:lang w:val="en-GB"/>
              </w:rPr>
              <w:t>Neutropenia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E5C0BD9" w14:textId="77777777" w:rsidR="00283AA5" w:rsidRPr="003A19F1" w:rsidRDefault="00283AA5" w:rsidP="004F5CEA">
            <w:pPr>
              <w:pStyle w:val="TableContent"/>
              <w:rPr>
                <w:lang w:val="en-GB"/>
              </w:rPr>
            </w:pPr>
            <w:r w:rsidRPr="003A19F1">
              <w:rPr>
                <w:lang w:val="en-GB"/>
              </w:rPr>
              <w:t>3 (17%)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  <w:noWrap/>
          </w:tcPr>
          <w:p w14:paraId="4C3F580D" w14:textId="77777777" w:rsidR="00283AA5" w:rsidRPr="003A19F1" w:rsidRDefault="00283AA5" w:rsidP="004F5CEA">
            <w:pPr>
              <w:pStyle w:val="TableContent"/>
              <w:rPr>
                <w:lang w:val="en-GB"/>
              </w:rPr>
            </w:pPr>
            <w:r w:rsidRPr="003A19F1">
              <w:rPr>
                <w:lang w:val="en-GB"/>
              </w:rPr>
              <w:t>2 (11%)</w:t>
            </w:r>
          </w:p>
        </w:tc>
        <w:tc>
          <w:tcPr>
            <w:tcW w:w="1253" w:type="dxa"/>
            <w:gridSpan w:val="2"/>
            <w:tcBorders>
              <w:bottom w:val="single" w:sz="4" w:space="0" w:color="auto"/>
            </w:tcBorders>
            <w:noWrap/>
          </w:tcPr>
          <w:p w14:paraId="3521CADB" w14:textId="77777777" w:rsidR="00283AA5" w:rsidRPr="003A19F1" w:rsidRDefault="00283AA5" w:rsidP="004F5CEA">
            <w:pPr>
              <w:pStyle w:val="TableContent"/>
              <w:rPr>
                <w:lang w:val="en-GB"/>
              </w:rPr>
            </w:pPr>
          </w:p>
        </w:tc>
        <w:tc>
          <w:tcPr>
            <w:tcW w:w="1253" w:type="dxa"/>
            <w:gridSpan w:val="2"/>
            <w:tcBorders>
              <w:bottom w:val="single" w:sz="4" w:space="0" w:color="auto"/>
            </w:tcBorders>
            <w:noWrap/>
          </w:tcPr>
          <w:p w14:paraId="6C700F1E" w14:textId="77777777" w:rsidR="00283AA5" w:rsidRPr="003A19F1" w:rsidRDefault="00283AA5" w:rsidP="004F5CEA">
            <w:pPr>
              <w:pStyle w:val="TableContent"/>
              <w:rPr>
                <w:lang w:val="en-GB"/>
              </w:rPr>
            </w:pPr>
          </w:p>
        </w:tc>
        <w:tc>
          <w:tcPr>
            <w:tcW w:w="1253" w:type="dxa"/>
            <w:gridSpan w:val="2"/>
            <w:tcBorders>
              <w:bottom w:val="single" w:sz="4" w:space="0" w:color="auto"/>
            </w:tcBorders>
            <w:noWrap/>
          </w:tcPr>
          <w:p w14:paraId="2200F0C1" w14:textId="77777777" w:rsidR="00283AA5" w:rsidRPr="003A19F1" w:rsidRDefault="00283AA5" w:rsidP="004F5CEA">
            <w:pPr>
              <w:pStyle w:val="TableContent"/>
              <w:rPr>
                <w:lang w:val="en-GB"/>
              </w:rPr>
            </w:pPr>
          </w:p>
        </w:tc>
      </w:tr>
    </w:tbl>
    <w:p w14:paraId="1DC54321" w14:textId="1644BED9" w:rsidR="00283AA5" w:rsidRPr="003A19F1" w:rsidRDefault="00283AA5" w:rsidP="00283AA5">
      <w:pPr>
        <w:pStyle w:val="Beschriftung"/>
        <w:rPr>
          <w:lang w:val="en-GB"/>
        </w:rPr>
      </w:pPr>
      <w:r w:rsidRPr="003A19F1">
        <w:rPr>
          <w:lang w:val="en-GB"/>
        </w:rPr>
        <w:t>Adverse events starting during capecitabine mono treatment ≥ grade 2 and number of patients with maximum grading per event are listed. “All grades” include</w:t>
      </w:r>
      <w:r w:rsidR="00B32C18" w:rsidRPr="00B33200">
        <w:rPr>
          <w:lang w:val="en-GB"/>
        </w:rPr>
        <w:t>s</w:t>
      </w:r>
      <w:r w:rsidRPr="003A19F1">
        <w:rPr>
          <w:lang w:val="en-GB"/>
        </w:rPr>
        <w:t xml:space="preserve"> patients with maximum grade 1. Adverse events grade 2 with occurrence in ≥10% of patients, grade 3 in ≥5% of patients and all grade 4/5 adverse events are shown. *Adverse event terms are summarized MedDRA preferred terms.</w:t>
      </w:r>
    </w:p>
    <w:p w14:paraId="33AD0C5A" w14:textId="77777777" w:rsidR="00283AA5" w:rsidRPr="003A19F1" w:rsidRDefault="00283AA5">
      <w:pPr>
        <w:rPr>
          <w:lang w:val="en-GB"/>
        </w:rPr>
      </w:pPr>
    </w:p>
    <w:p w14:paraId="10BF977D" w14:textId="77777777" w:rsidR="00283AA5" w:rsidRPr="003A19F1" w:rsidRDefault="00283AA5">
      <w:pPr>
        <w:rPr>
          <w:lang w:val="en-GB"/>
        </w:rPr>
      </w:pPr>
    </w:p>
    <w:p w14:paraId="21235221" w14:textId="77777777" w:rsidR="00E660D2" w:rsidRPr="00B33200" w:rsidRDefault="00E660D2">
      <w:pPr>
        <w:rPr>
          <w:rFonts w:ascii="Arial" w:eastAsia="MS Mincho" w:hAnsi="Arial" w:cs="Times New Roman"/>
          <w:b/>
          <w:bCs/>
          <w:sz w:val="20"/>
          <w:lang w:val="en-GB" w:eastAsia="de-DE"/>
        </w:rPr>
      </w:pPr>
      <w:r w:rsidRPr="003A19F1">
        <w:rPr>
          <w:lang w:val="en-GB"/>
        </w:rPr>
        <w:br w:type="page"/>
      </w:r>
    </w:p>
    <w:p w14:paraId="63128CE9" w14:textId="77777777" w:rsidR="00351838" w:rsidRPr="00AE4AD8" w:rsidRDefault="00351838" w:rsidP="00A510E9">
      <w:pPr>
        <w:pStyle w:val="FigureandTableHeader"/>
      </w:pPr>
      <w:r w:rsidRPr="00B33200">
        <w:lastRenderedPageBreak/>
        <w:t>Figure S1: Progression-free survival in TNBC (A) and HR</w:t>
      </w:r>
      <w:r w:rsidR="00B77503" w:rsidRPr="00B33200">
        <w:t>-</w:t>
      </w:r>
      <w:r w:rsidRPr="00B33200">
        <w:t xml:space="preserve">positive subgroup </w:t>
      </w:r>
      <w:r w:rsidR="00B77503" w:rsidRPr="00AE4AD8">
        <w:t xml:space="preserve">according to the </w:t>
      </w:r>
      <w:r w:rsidRPr="00AE4AD8">
        <w:t>thymidylate phosphatase expression</w:t>
      </w:r>
    </w:p>
    <w:p w14:paraId="59B4A713" w14:textId="3CDD4A2E" w:rsidR="00351838" w:rsidRPr="00AE4AD8" w:rsidRDefault="00E35B44" w:rsidP="00A510E9">
      <w:pPr>
        <w:pStyle w:val="FigureandTableHeader"/>
      </w:pPr>
      <w:r>
        <w:rPr>
          <w:noProof/>
        </w:rPr>
        <w:drawing>
          <wp:inline distT="0" distB="0" distL="0" distR="0" wp14:anchorId="2D0D68FA" wp14:editId="51961D53">
            <wp:extent cx="5308600" cy="19812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A7B58" w14:textId="7379A9E6" w:rsidR="00351838" w:rsidRPr="003A19F1" w:rsidRDefault="00351838" w:rsidP="00351838">
      <w:pPr>
        <w:pStyle w:val="Beschriftung"/>
        <w:rPr>
          <w:lang w:val="en-GB"/>
        </w:rPr>
      </w:pPr>
      <w:r w:rsidRPr="003A19F1">
        <w:rPr>
          <w:lang w:val="en-GB"/>
        </w:rPr>
        <w:t>HR: hazard ratio, TNBC: triple negative breast cancer</w:t>
      </w:r>
      <w:r w:rsidR="002E1792" w:rsidRPr="003A19F1">
        <w:rPr>
          <w:lang w:val="en-GB"/>
        </w:rPr>
        <w:t xml:space="preserve">, </w:t>
      </w:r>
      <w:r w:rsidRPr="003A19F1">
        <w:rPr>
          <w:lang w:val="en-GB"/>
        </w:rPr>
        <w:t>TP: Thymidylate phosphatase</w:t>
      </w:r>
      <w:r w:rsidR="00F36B24">
        <w:rPr>
          <w:lang w:val="en-GB"/>
        </w:rPr>
        <w:t>.</w:t>
      </w:r>
    </w:p>
    <w:p w14:paraId="2FDA809D" w14:textId="77777777" w:rsidR="00351838" w:rsidRPr="00AE4AD8" w:rsidRDefault="00351838" w:rsidP="00A510E9">
      <w:pPr>
        <w:pStyle w:val="FigureandTableHeader"/>
      </w:pPr>
    </w:p>
    <w:p w14:paraId="6C84CFDE" w14:textId="65706DDD" w:rsidR="00A510E9" w:rsidRPr="00AE4AD8" w:rsidRDefault="00A510E9" w:rsidP="00A510E9">
      <w:pPr>
        <w:pStyle w:val="FigureandTableHeader"/>
      </w:pPr>
      <w:r w:rsidRPr="00AE4AD8">
        <w:t>Figure S</w:t>
      </w:r>
      <w:r w:rsidR="00351838" w:rsidRPr="00AE4AD8">
        <w:t>2</w:t>
      </w:r>
      <w:r w:rsidRPr="00AE4AD8">
        <w:t>: Overall survival (A) in the overall population, (B) by receptor status</w:t>
      </w:r>
      <w:r w:rsidR="00265FA8" w:rsidRPr="00AE4AD8">
        <w:t xml:space="preserve"> and</w:t>
      </w:r>
      <w:r w:rsidRPr="00AE4AD8">
        <w:t xml:space="preserve"> (C) by thymidylate phosphatase expression</w:t>
      </w:r>
    </w:p>
    <w:p w14:paraId="3E275768" w14:textId="35A6BB73" w:rsidR="00A510E9" w:rsidRPr="003A19F1" w:rsidRDefault="00E35B44" w:rsidP="00A510E9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145A941D" wp14:editId="51B954B4">
            <wp:extent cx="5308600" cy="39116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11005" w14:textId="77777777" w:rsidR="00A510E9" w:rsidRPr="003A19F1" w:rsidRDefault="00351838" w:rsidP="00283AA5">
      <w:pPr>
        <w:pStyle w:val="Beschriftung"/>
        <w:rPr>
          <w:lang w:val="en-GB"/>
        </w:rPr>
      </w:pPr>
      <w:r w:rsidRPr="003A19F1">
        <w:rPr>
          <w:lang w:val="en-GB"/>
        </w:rPr>
        <w:t xml:space="preserve">HR: hazard ratio, TNBC: triple negative breast cancer, HR hormone-receptor, TP: Thymidylate phosphatase; </w:t>
      </w:r>
      <w:r w:rsidR="00A510E9" w:rsidRPr="003A19F1">
        <w:rPr>
          <w:lang w:val="en-GB"/>
        </w:rPr>
        <w:t>OS: Until end of follow up 26 patients died, 14 were censored</w:t>
      </w:r>
    </w:p>
    <w:p w14:paraId="6EE03E1F" w14:textId="77777777" w:rsidR="00A510E9" w:rsidRPr="003A19F1" w:rsidRDefault="00A510E9">
      <w:pPr>
        <w:rPr>
          <w:lang w:val="en-GB"/>
        </w:rPr>
      </w:pPr>
    </w:p>
    <w:p w14:paraId="2BBC0ED8" w14:textId="77777777" w:rsidR="00FA6B6C" w:rsidRPr="003A19F1" w:rsidRDefault="00FA6B6C">
      <w:pPr>
        <w:rPr>
          <w:lang w:val="en-GB"/>
        </w:rPr>
      </w:pPr>
    </w:p>
    <w:p w14:paraId="4C6365F2" w14:textId="4C48BA26" w:rsidR="00E660D2" w:rsidRDefault="00E660D2">
      <w:pPr>
        <w:rPr>
          <w:b/>
          <w:bCs/>
          <w:lang w:val="en-GB"/>
        </w:rPr>
      </w:pPr>
    </w:p>
    <w:p w14:paraId="1D1A109C" w14:textId="0BFBEB1F" w:rsidR="00F334C6" w:rsidRDefault="00F334C6">
      <w:pPr>
        <w:rPr>
          <w:b/>
          <w:bCs/>
          <w:lang w:val="en-GB"/>
        </w:rPr>
      </w:pPr>
    </w:p>
    <w:p w14:paraId="5A77AB73" w14:textId="3BF9348B" w:rsidR="00F334C6" w:rsidRDefault="00F334C6">
      <w:pPr>
        <w:rPr>
          <w:b/>
          <w:bCs/>
          <w:lang w:val="en-GB"/>
        </w:rPr>
      </w:pPr>
    </w:p>
    <w:p w14:paraId="62618333" w14:textId="51F31909" w:rsidR="00F334C6" w:rsidRDefault="00F334C6">
      <w:pPr>
        <w:rPr>
          <w:b/>
          <w:bCs/>
          <w:lang w:val="en-GB"/>
        </w:rPr>
      </w:pPr>
    </w:p>
    <w:p w14:paraId="7614627B" w14:textId="77777777" w:rsidR="00F334C6" w:rsidRPr="003A19F1" w:rsidRDefault="00F334C6">
      <w:pPr>
        <w:rPr>
          <w:b/>
          <w:bCs/>
          <w:lang w:val="en-GB"/>
        </w:rPr>
      </w:pPr>
    </w:p>
    <w:p w14:paraId="1C4AC95C" w14:textId="0C60A63C" w:rsidR="00FA6B6C" w:rsidRPr="003A19F1" w:rsidRDefault="00E660D2">
      <w:pPr>
        <w:rPr>
          <w:b/>
          <w:bCs/>
          <w:lang w:val="en-GB"/>
        </w:rPr>
      </w:pPr>
      <w:r w:rsidRPr="003A19F1">
        <w:rPr>
          <w:b/>
          <w:bCs/>
          <w:lang w:val="en-GB"/>
        </w:rPr>
        <w:t>F</w:t>
      </w:r>
      <w:r w:rsidR="00FA6B6C" w:rsidRPr="003A19F1">
        <w:rPr>
          <w:b/>
          <w:bCs/>
          <w:lang w:val="en-GB"/>
        </w:rPr>
        <w:t>igure S</w:t>
      </w:r>
      <w:r w:rsidR="000D1665">
        <w:rPr>
          <w:b/>
          <w:bCs/>
          <w:lang w:val="en-GB"/>
        </w:rPr>
        <w:t>3</w:t>
      </w:r>
      <w:r w:rsidRPr="003A19F1">
        <w:rPr>
          <w:b/>
          <w:bCs/>
          <w:lang w:val="en-GB"/>
        </w:rPr>
        <w:t xml:space="preserve">: Time to </w:t>
      </w:r>
      <w:r w:rsidR="00F334C6" w:rsidRPr="003A19F1">
        <w:rPr>
          <w:b/>
          <w:bCs/>
          <w:lang w:val="en-GB"/>
        </w:rPr>
        <w:t>deterioration</w:t>
      </w:r>
      <w:r w:rsidR="00FA6B6C" w:rsidRPr="003A19F1">
        <w:rPr>
          <w:b/>
          <w:bCs/>
          <w:lang w:val="en-GB"/>
        </w:rPr>
        <w:t xml:space="preserve"> of Global Health status</w:t>
      </w:r>
      <w:r w:rsidRPr="003A19F1">
        <w:rPr>
          <w:b/>
          <w:bCs/>
          <w:lang w:val="en-GB"/>
        </w:rPr>
        <w:t xml:space="preserve"> by clinical benefit</w:t>
      </w:r>
    </w:p>
    <w:p w14:paraId="1184161E" w14:textId="7D5EA2EE" w:rsidR="00E83C64" w:rsidRPr="003A19F1" w:rsidRDefault="00F334C6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20D7E704" wp14:editId="7D70B719">
            <wp:extent cx="4124325" cy="4015571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842" cy="403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3C64" w:rsidRPr="003A19F1" w:rsidSect="006428A6">
      <w:foot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A48FB" w14:textId="77777777" w:rsidR="00132B80" w:rsidRDefault="00132B80" w:rsidP="00AB3CB7">
      <w:r>
        <w:separator/>
      </w:r>
    </w:p>
  </w:endnote>
  <w:endnote w:type="continuationSeparator" w:id="0">
    <w:p w14:paraId="19945044" w14:textId="77777777" w:rsidR="00132B80" w:rsidRDefault="00132B80" w:rsidP="00AB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2E4CB" w14:textId="77777777" w:rsidR="00AB3CB7" w:rsidRPr="00AB3CB7" w:rsidRDefault="00AB3CB7" w:rsidP="00AB3CB7">
    <w:pPr>
      <w:pStyle w:val="Fuzeile"/>
      <w:pBdr>
        <w:top w:val="single" w:sz="4" w:space="4" w:color="auto"/>
      </w:pBdr>
      <w:tabs>
        <w:tab w:val="clear" w:pos="9072"/>
        <w:tab w:val="left" w:pos="0"/>
        <w:tab w:val="right" w:pos="9073"/>
      </w:tabs>
      <w:ind w:left="-567"/>
      <w:rPr>
        <w:rFonts w:ascii="Arial" w:hAnsi="Arial" w:cs="Arial"/>
        <w:sz w:val="18"/>
        <w:szCs w:val="18"/>
        <w:lang w:val="en-US"/>
      </w:rPr>
    </w:pPr>
    <w:r w:rsidRPr="00AB3CB7">
      <w:rPr>
        <w:rFonts w:ascii="Arial" w:hAnsi="Arial" w:cs="Arial"/>
        <w:sz w:val="18"/>
        <w:szCs w:val="18"/>
        <w:lang w:val="en-US"/>
      </w:rPr>
      <w:t xml:space="preserve">AGMT MBC-6 </w:t>
    </w:r>
    <w:r>
      <w:rPr>
        <w:rFonts w:ascii="Arial" w:hAnsi="Arial" w:cs="Arial"/>
        <w:sz w:val="18"/>
        <w:szCs w:val="18"/>
        <w:lang w:val="en-US"/>
      </w:rPr>
      <w:t>Trial - Supplementary</w:t>
    </w:r>
    <w:r w:rsidRPr="00AB3CB7">
      <w:rPr>
        <w:rFonts w:ascii="Arial" w:hAnsi="Arial" w:cs="Arial"/>
        <w:sz w:val="18"/>
        <w:szCs w:val="18"/>
        <w:lang w:val="en-US"/>
      </w:rPr>
      <w:tab/>
    </w:r>
    <w:r w:rsidRPr="00AB3CB7">
      <w:rPr>
        <w:rFonts w:ascii="Arial" w:hAnsi="Arial" w:cs="Arial"/>
        <w:sz w:val="18"/>
        <w:szCs w:val="18"/>
        <w:lang w:val="en-US"/>
      </w:rPr>
      <w:tab/>
      <w:t xml:space="preserve">Page </w:t>
    </w:r>
    <w:r w:rsidRPr="00AB3CB7">
      <w:rPr>
        <w:rStyle w:val="Seitenzahl"/>
        <w:rFonts w:ascii="Arial" w:hAnsi="Arial" w:cs="Arial"/>
        <w:sz w:val="18"/>
        <w:szCs w:val="18"/>
      </w:rPr>
      <w:fldChar w:fldCharType="begin"/>
    </w:r>
    <w:r w:rsidRPr="00AB3CB7">
      <w:rPr>
        <w:rStyle w:val="Seitenzahl"/>
        <w:rFonts w:ascii="Arial" w:hAnsi="Arial" w:cs="Arial"/>
        <w:sz w:val="18"/>
        <w:szCs w:val="18"/>
        <w:lang w:val="en-US"/>
      </w:rPr>
      <w:instrText xml:space="preserve"> PAGE </w:instrText>
    </w:r>
    <w:r w:rsidRPr="00AB3CB7">
      <w:rPr>
        <w:rStyle w:val="Seitenzahl"/>
        <w:rFonts w:ascii="Arial" w:hAnsi="Arial" w:cs="Arial"/>
        <w:sz w:val="18"/>
        <w:szCs w:val="18"/>
      </w:rPr>
      <w:fldChar w:fldCharType="separate"/>
    </w:r>
    <w:r w:rsidRPr="00AB3CB7">
      <w:rPr>
        <w:rStyle w:val="Seitenzahl"/>
        <w:rFonts w:ascii="Arial" w:hAnsi="Arial" w:cs="Arial"/>
        <w:sz w:val="18"/>
        <w:szCs w:val="18"/>
        <w:lang w:val="en-US"/>
      </w:rPr>
      <w:t>8</w:t>
    </w:r>
    <w:r w:rsidRPr="00AB3CB7">
      <w:rPr>
        <w:rStyle w:val="Seitenzahl"/>
        <w:rFonts w:ascii="Arial" w:hAnsi="Arial" w:cs="Arial"/>
        <w:sz w:val="18"/>
        <w:szCs w:val="18"/>
      </w:rPr>
      <w:fldChar w:fldCharType="end"/>
    </w:r>
    <w:r w:rsidRPr="00AB3CB7">
      <w:rPr>
        <w:rStyle w:val="Seitenzahl"/>
        <w:rFonts w:ascii="Arial" w:hAnsi="Arial" w:cs="Arial"/>
        <w:sz w:val="18"/>
        <w:szCs w:val="18"/>
        <w:lang w:val="en-US"/>
      </w:rPr>
      <w:t xml:space="preserve"> of </w:t>
    </w:r>
    <w:r w:rsidRPr="00AB3CB7">
      <w:rPr>
        <w:rStyle w:val="Seitenzahl"/>
        <w:rFonts w:ascii="Arial" w:hAnsi="Arial" w:cs="Arial"/>
        <w:sz w:val="18"/>
        <w:szCs w:val="18"/>
      </w:rPr>
      <w:fldChar w:fldCharType="begin"/>
    </w:r>
    <w:r w:rsidRPr="00AB3CB7">
      <w:rPr>
        <w:rStyle w:val="Seitenzahl"/>
        <w:rFonts w:ascii="Arial" w:hAnsi="Arial" w:cs="Arial"/>
        <w:sz w:val="18"/>
        <w:szCs w:val="18"/>
        <w:lang w:val="en-US"/>
      </w:rPr>
      <w:instrText xml:space="preserve"> NUMPAGES </w:instrText>
    </w:r>
    <w:r w:rsidRPr="00AB3CB7">
      <w:rPr>
        <w:rStyle w:val="Seitenzahl"/>
        <w:rFonts w:ascii="Arial" w:hAnsi="Arial" w:cs="Arial"/>
        <w:sz w:val="18"/>
        <w:szCs w:val="18"/>
      </w:rPr>
      <w:fldChar w:fldCharType="separate"/>
    </w:r>
    <w:r w:rsidRPr="00AB3CB7">
      <w:rPr>
        <w:rStyle w:val="Seitenzahl"/>
        <w:rFonts w:ascii="Arial" w:hAnsi="Arial" w:cs="Arial"/>
        <w:sz w:val="18"/>
        <w:szCs w:val="18"/>
        <w:lang w:val="en-US"/>
      </w:rPr>
      <w:t>16</w:t>
    </w:r>
    <w:r w:rsidRPr="00AB3CB7">
      <w:rPr>
        <w:rStyle w:val="Seitenzahl"/>
        <w:rFonts w:ascii="Arial" w:hAnsi="Arial" w:cs="Arial"/>
        <w:sz w:val="18"/>
        <w:szCs w:val="18"/>
      </w:rPr>
      <w:fldChar w:fldCharType="end"/>
    </w:r>
  </w:p>
  <w:p w14:paraId="628020DA" w14:textId="77777777" w:rsidR="00AB3CB7" w:rsidRPr="00AB3CB7" w:rsidRDefault="00AB3CB7">
    <w:pPr>
      <w:pStyle w:val="Fuzeile"/>
      <w:rPr>
        <w:rFonts w:ascii="Arial" w:hAnsi="Arial" w:cs="Arial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A35A1" w14:textId="77777777" w:rsidR="00132B80" w:rsidRDefault="00132B80" w:rsidP="00AB3CB7">
      <w:r>
        <w:separator/>
      </w:r>
    </w:p>
  </w:footnote>
  <w:footnote w:type="continuationSeparator" w:id="0">
    <w:p w14:paraId="2A283B9A" w14:textId="77777777" w:rsidR="00132B80" w:rsidRDefault="00132B80" w:rsidP="00AB3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81EA5"/>
    <w:multiLevelType w:val="hybridMultilevel"/>
    <w:tmpl w:val="31A843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023AC"/>
    <w:multiLevelType w:val="hybridMultilevel"/>
    <w:tmpl w:val="4A8C48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A6F7B"/>
    <w:multiLevelType w:val="hybridMultilevel"/>
    <w:tmpl w:val="2CBEFD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23D1A"/>
    <w:multiLevelType w:val="hybridMultilevel"/>
    <w:tmpl w:val="83F245C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B57B8"/>
    <w:multiLevelType w:val="hybridMultilevel"/>
    <w:tmpl w:val="FCD87A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F6390"/>
    <w:multiLevelType w:val="hybridMultilevel"/>
    <w:tmpl w:val="2FE6F7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A60EF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ind w:left="4118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8CB"/>
    <w:rsid w:val="00012C80"/>
    <w:rsid w:val="00021ABE"/>
    <w:rsid w:val="00044FA9"/>
    <w:rsid w:val="00081FBA"/>
    <w:rsid w:val="000D1665"/>
    <w:rsid w:val="000D25F7"/>
    <w:rsid w:val="00111B84"/>
    <w:rsid w:val="00116BB0"/>
    <w:rsid w:val="00132B80"/>
    <w:rsid w:val="00150E2E"/>
    <w:rsid w:val="00152A1E"/>
    <w:rsid w:val="001647C4"/>
    <w:rsid w:val="001832EB"/>
    <w:rsid w:val="00186497"/>
    <w:rsid w:val="001E6425"/>
    <w:rsid w:val="001F27D3"/>
    <w:rsid w:val="002223EB"/>
    <w:rsid w:val="0024222B"/>
    <w:rsid w:val="00265FA8"/>
    <w:rsid w:val="00283AA5"/>
    <w:rsid w:val="002A2FFB"/>
    <w:rsid w:val="002B341F"/>
    <w:rsid w:val="002E1792"/>
    <w:rsid w:val="00316229"/>
    <w:rsid w:val="00351838"/>
    <w:rsid w:val="003539F2"/>
    <w:rsid w:val="0036753F"/>
    <w:rsid w:val="00370CEB"/>
    <w:rsid w:val="003810AD"/>
    <w:rsid w:val="003A19F1"/>
    <w:rsid w:val="00407AF1"/>
    <w:rsid w:val="00421480"/>
    <w:rsid w:val="00427F0B"/>
    <w:rsid w:val="00427F9C"/>
    <w:rsid w:val="00443125"/>
    <w:rsid w:val="004B3356"/>
    <w:rsid w:val="004D7EEF"/>
    <w:rsid w:val="004F5CEA"/>
    <w:rsid w:val="00532346"/>
    <w:rsid w:val="0055163D"/>
    <w:rsid w:val="0057186E"/>
    <w:rsid w:val="00576CBB"/>
    <w:rsid w:val="00586446"/>
    <w:rsid w:val="0058683B"/>
    <w:rsid w:val="005960E0"/>
    <w:rsid w:val="005A3E9C"/>
    <w:rsid w:val="005A4CFF"/>
    <w:rsid w:val="005A553F"/>
    <w:rsid w:val="005D2EC7"/>
    <w:rsid w:val="00604D77"/>
    <w:rsid w:val="00615449"/>
    <w:rsid w:val="00620E2F"/>
    <w:rsid w:val="0064263E"/>
    <w:rsid w:val="006428A6"/>
    <w:rsid w:val="0064363E"/>
    <w:rsid w:val="0064461A"/>
    <w:rsid w:val="0065178F"/>
    <w:rsid w:val="006768F6"/>
    <w:rsid w:val="0069560B"/>
    <w:rsid w:val="006A4109"/>
    <w:rsid w:val="006C2983"/>
    <w:rsid w:val="006C4384"/>
    <w:rsid w:val="006E052D"/>
    <w:rsid w:val="006E0BDC"/>
    <w:rsid w:val="00736F9E"/>
    <w:rsid w:val="00755CFD"/>
    <w:rsid w:val="0077100B"/>
    <w:rsid w:val="007B6DEB"/>
    <w:rsid w:val="007D0A43"/>
    <w:rsid w:val="00820652"/>
    <w:rsid w:val="00877E99"/>
    <w:rsid w:val="0088157D"/>
    <w:rsid w:val="00896645"/>
    <w:rsid w:val="008D6CE4"/>
    <w:rsid w:val="009166B6"/>
    <w:rsid w:val="00925695"/>
    <w:rsid w:val="0094314B"/>
    <w:rsid w:val="00943B61"/>
    <w:rsid w:val="00946956"/>
    <w:rsid w:val="00951583"/>
    <w:rsid w:val="009B1099"/>
    <w:rsid w:val="009C0917"/>
    <w:rsid w:val="009C16F8"/>
    <w:rsid w:val="009D11BB"/>
    <w:rsid w:val="00A43383"/>
    <w:rsid w:val="00A510E9"/>
    <w:rsid w:val="00A55366"/>
    <w:rsid w:val="00A704F1"/>
    <w:rsid w:val="00AA5D29"/>
    <w:rsid w:val="00AB3CB7"/>
    <w:rsid w:val="00AE4AD8"/>
    <w:rsid w:val="00AE7E02"/>
    <w:rsid w:val="00B32C18"/>
    <w:rsid w:val="00B33200"/>
    <w:rsid w:val="00B45246"/>
    <w:rsid w:val="00B77503"/>
    <w:rsid w:val="00BE1BE9"/>
    <w:rsid w:val="00C226D5"/>
    <w:rsid w:val="00C446EC"/>
    <w:rsid w:val="00C50045"/>
    <w:rsid w:val="00C5601C"/>
    <w:rsid w:val="00C7276E"/>
    <w:rsid w:val="00C729FE"/>
    <w:rsid w:val="00C92C94"/>
    <w:rsid w:val="00C955C1"/>
    <w:rsid w:val="00CA6C52"/>
    <w:rsid w:val="00CC4363"/>
    <w:rsid w:val="00CF00C2"/>
    <w:rsid w:val="00D07347"/>
    <w:rsid w:val="00D3641B"/>
    <w:rsid w:val="00D6274B"/>
    <w:rsid w:val="00DD44A5"/>
    <w:rsid w:val="00E1100B"/>
    <w:rsid w:val="00E35B44"/>
    <w:rsid w:val="00E36A7C"/>
    <w:rsid w:val="00E36D19"/>
    <w:rsid w:val="00E43D8B"/>
    <w:rsid w:val="00E660D2"/>
    <w:rsid w:val="00E67E5E"/>
    <w:rsid w:val="00E7604B"/>
    <w:rsid w:val="00E77804"/>
    <w:rsid w:val="00E83C64"/>
    <w:rsid w:val="00EA2393"/>
    <w:rsid w:val="00EC2BA0"/>
    <w:rsid w:val="00EC2F70"/>
    <w:rsid w:val="00EF3839"/>
    <w:rsid w:val="00F334C6"/>
    <w:rsid w:val="00F36B24"/>
    <w:rsid w:val="00F65A52"/>
    <w:rsid w:val="00F714F6"/>
    <w:rsid w:val="00F91206"/>
    <w:rsid w:val="00F978CB"/>
    <w:rsid w:val="00FA4022"/>
    <w:rsid w:val="00FA6B6C"/>
    <w:rsid w:val="00FE3A44"/>
    <w:rsid w:val="00FF1381"/>
    <w:rsid w:val="00FF141D"/>
    <w:rsid w:val="00FF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626F4"/>
  <w15:chartTrackingRefBased/>
  <w15:docId w15:val="{ECA5D7DB-3B16-0441-A93E-5C1B10DA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aliases w:val="Titol 1,Heading,Heading3"/>
    <w:basedOn w:val="Standard"/>
    <w:next w:val="Standard"/>
    <w:link w:val="berschrift1Zchn"/>
    <w:qFormat/>
    <w:rsid w:val="00943B61"/>
    <w:pPr>
      <w:keepNext/>
      <w:numPr>
        <w:numId w:val="1"/>
      </w:numPr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de-DE" w:eastAsia="de-DE"/>
    </w:rPr>
  </w:style>
  <w:style w:type="paragraph" w:styleId="berschrift2">
    <w:name w:val="heading 2"/>
    <w:aliases w:val="Titre 21,TOC2,Heading 21,titre 2"/>
    <w:basedOn w:val="Standard"/>
    <w:next w:val="Standard"/>
    <w:link w:val="berschrift2Zchn"/>
    <w:qFormat/>
    <w:rsid w:val="00943B61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943B61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  <w:lang w:val="de-DE" w:eastAsia="de-DE"/>
    </w:rPr>
  </w:style>
  <w:style w:type="paragraph" w:styleId="berschrift4">
    <w:name w:val="heading 4"/>
    <w:basedOn w:val="Standard"/>
    <w:next w:val="Standard"/>
    <w:link w:val="berschrift4Zchn"/>
    <w:qFormat/>
    <w:rsid w:val="00943B61"/>
    <w:pPr>
      <w:keepNext/>
      <w:numPr>
        <w:ilvl w:val="3"/>
        <w:numId w:val="1"/>
      </w:numPr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de-DE" w:eastAsia="de-DE"/>
    </w:rPr>
  </w:style>
  <w:style w:type="paragraph" w:styleId="berschrift5">
    <w:name w:val="heading 5"/>
    <w:basedOn w:val="Standard"/>
    <w:next w:val="Standard"/>
    <w:link w:val="berschrift5Zchn"/>
    <w:qFormat/>
    <w:rsid w:val="00943B61"/>
    <w:pPr>
      <w:numPr>
        <w:ilvl w:val="4"/>
        <w:numId w:val="1"/>
      </w:num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de-DE" w:eastAsia="de-DE"/>
    </w:rPr>
  </w:style>
  <w:style w:type="paragraph" w:styleId="berschrift6">
    <w:name w:val="heading 6"/>
    <w:basedOn w:val="Standard"/>
    <w:next w:val="Standard"/>
    <w:link w:val="berschrift6Zchn"/>
    <w:qFormat/>
    <w:rsid w:val="00943B61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de-DE" w:eastAsia="de-DE"/>
    </w:rPr>
  </w:style>
  <w:style w:type="paragraph" w:styleId="berschrift7">
    <w:name w:val="heading 7"/>
    <w:aliases w:val="not allowed"/>
    <w:basedOn w:val="Standard"/>
    <w:next w:val="Standard"/>
    <w:link w:val="berschrift7Zchn"/>
    <w:qFormat/>
    <w:rsid w:val="00943B61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lang w:val="de-DE" w:eastAsia="de-DE"/>
    </w:rPr>
  </w:style>
  <w:style w:type="paragraph" w:styleId="berschrift8">
    <w:name w:val="heading 8"/>
    <w:aliases w:val="do not use"/>
    <w:basedOn w:val="Standard"/>
    <w:next w:val="Standard"/>
    <w:link w:val="berschrift8Zchn"/>
    <w:qFormat/>
    <w:rsid w:val="00943B61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lang w:val="de-DE" w:eastAsia="de-DE"/>
    </w:rPr>
  </w:style>
  <w:style w:type="paragraph" w:styleId="berschrift9">
    <w:name w:val="heading 9"/>
    <w:aliases w:val="forbidden"/>
    <w:basedOn w:val="Standard"/>
    <w:next w:val="Standard"/>
    <w:link w:val="berschrift9Zchn"/>
    <w:qFormat/>
    <w:rsid w:val="00943B61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sz w:val="22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78CB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78CB"/>
    <w:rPr>
      <w:rFonts w:ascii="Times New Roman" w:hAnsi="Times New Roman" w:cs="Times New Roman"/>
      <w:sz w:val="18"/>
      <w:szCs w:val="18"/>
    </w:rPr>
  </w:style>
  <w:style w:type="paragraph" w:styleId="Beschriftung">
    <w:name w:val="caption"/>
    <w:aliases w:val="Lengende"/>
    <w:basedOn w:val="Standard"/>
    <w:next w:val="Standard"/>
    <w:link w:val="BeschriftungZchn"/>
    <w:qFormat/>
    <w:rsid w:val="00943B61"/>
    <w:pPr>
      <w:spacing w:before="120" w:after="100" w:afterAutospacing="1"/>
      <w:jc w:val="both"/>
    </w:pPr>
    <w:rPr>
      <w:rFonts w:ascii="Arial" w:eastAsia="MS Mincho" w:hAnsi="Arial" w:cs="Arial"/>
      <w:bCs/>
      <w:sz w:val="20"/>
      <w:szCs w:val="20"/>
      <w:lang w:val="en-US" w:eastAsia="de-DE"/>
    </w:rPr>
  </w:style>
  <w:style w:type="paragraph" w:customStyle="1" w:styleId="FigureandTableHeader">
    <w:name w:val="Figure and Table Header"/>
    <w:basedOn w:val="Standard"/>
    <w:qFormat/>
    <w:rsid w:val="00943B61"/>
    <w:pPr>
      <w:spacing w:after="120"/>
    </w:pPr>
    <w:rPr>
      <w:rFonts w:ascii="Arial" w:eastAsia="MS Mincho" w:hAnsi="Arial" w:cs="Times New Roman"/>
      <w:b/>
      <w:bCs/>
      <w:sz w:val="20"/>
      <w:lang w:val="en-GB" w:eastAsia="de-DE"/>
    </w:rPr>
  </w:style>
  <w:style w:type="table" w:styleId="Tabellenraster">
    <w:name w:val="Table Grid"/>
    <w:basedOn w:val="NormaleTabelle"/>
    <w:uiPriority w:val="39"/>
    <w:rsid w:val="00943B61"/>
    <w:rPr>
      <w:rFonts w:ascii="Times New Roman" w:eastAsia="MS Mincho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schriftungZchn">
    <w:name w:val="Beschriftung Zchn"/>
    <w:aliases w:val="Lengende Zchn"/>
    <w:basedOn w:val="Absatz-Standardschriftart"/>
    <w:link w:val="Beschriftung"/>
    <w:locked/>
    <w:rsid w:val="00943B61"/>
    <w:rPr>
      <w:rFonts w:ascii="Arial" w:eastAsia="MS Mincho" w:hAnsi="Arial" w:cs="Arial"/>
      <w:bCs/>
      <w:sz w:val="20"/>
      <w:szCs w:val="20"/>
      <w:lang w:val="en-US" w:eastAsia="de-DE"/>
    </w:rPr>
  </w:style>
  <w:style w:type="paragraph" w:customStyle="1" w:styleId="TableContent">
    <w:name w:val="Table Content"/>
    <w:basedOn w:val="Standard"/>
    <w:qFormat/>
    <w:rsid w:val="00943B61"/>
    <w:pPr>
      <w:spacing w:before="40" w:after="40"/>
    </w:pPr>
    <w:rPr>
      <w:rFonts w:ascii="Arial" w:eastAsia="Times New Roman" w:hAnsi="Arial" w:cs="Arial"/>
      <w:color w:val="000000"/>
      <w:sz w:val="20"/>
      <w:szCs w:val="22"/>
      <w:lang w:val="de-DE" w:eastAsia="de-DE"/>
    </w:rPr>
  </w:style>
  <w:style w:type="character" w:customStyle="1" w:styleId="berschrift1Zchn">
    <w:name w:val="Überschrift 1 Zchn"/>
    <w:aliases w:val="Titol 1 Zchn,Heading Zchn,Heading3 Zchn"/>
    <w:basedOn w:val="Absatz-Standardschriftart"/>
    <w:link w:val="berschrift1"/>
    <w:rsid w:val="00943B61"/>
    <w:rPr>
      <w:rFonts w:ascii="Arial" w:eastAsia="Times New Roman" w:hAnsi="Arial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aliases w:val="Titre 21 Zchn,TOC2 Zchn,Heading 21 Zchn,titre 2 Zchn"/>
    <w:basedOn w:val="Absatz-Standardschriftart"/>
    <w:link w:val="berschrift2"/>
    <w:rsid w:val="00943B61"/>
    <w:rPr>
      <w:rFonts w:ascii="Arial" w:eastAsia="Times New Roman" w:hAnsi="Arial" w:cs="Times New Roman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943B61"/>
    <w:rPr>
      <w:rFonts w:ascii="Arial" w:eastAsia="Times New Roman" w:hAnsi="Arial" w:cs="Times New Roman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943B61"/>
    <w:rPr>
      <w:rFonts w:ascii="Times New Roman" w:eastAsia="Times New Roman" w:hAnsi="Times New Roman" w:cs="Times New Roman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943B61"/>
    <w:rPr>
      <w:rFonts w:ascii="Times New Roman" w:eastAsia="Times New Roman" w:hAnsi="Times New Roman" w:cs="Times New Roman"/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943B61"/>
    <w:rPr>
      <w:rFonts w:ascii="Times New Roman" w:eastAsia="Times New Roman" w:hAnsi="Times New Roman" w:cs="Times New Roman"/>
      <w:b/>
      <w:bCs/>
      <w:sz w:val="22"/>
      <w:szCs w:val="22"/>
      <w:lang w:val="de-DE" w:eastAsia="de-DE"/>
    </w:rPr>
  </w:style>
  <w:style w:type="character" w:customStyle="1" w:styleId="berschrift7Zchn">
    <w:name w:val="Überschrift 7 Zchn"/>
    <w:aliases w:val="not allowed Zchn"/>
    <w:basedOn w:val="Absatz-Standardschriftart"/>
    <w:link w:val="berschrift7"/>
    <w:rsid w:val="00943B61"/>
    <w:rPr>
      <w:rFonts w:ascii="Times New Roman" w:eastAsia="Times New Roman" w:hAnsi="Times New Roman" w:cs="Times New Roman"/>
      <w:lang w:val="de-DE" w:eastAsia="de-DE"/>
    </w:rPr>
  </w:style>
  <w:style w:type="character" w:customStyle="1" w:styleId="berschrift8Zchn">
    <w:name w:val="Überschrift 8 Zchn"/>
    <w:aliases w:val="do not use Zchn"/>
    <w:basedOn w:val="Absatz-Standardschriftart"/>
    <w:link w:val="berschrift8"/>
    <w:rsid w:val="00943B61"/>
    <w:rPr>
      <w:rFonts w:ascii="Times New Roman" w:eastAsia="Times New Roman" w:hAnsi="Times New Roman" w:cs="Times New Roman"/>
      <w:i/>
      <w:iCs/>
      <w:lang w:val="de-DE" w:eastAsia="de-DE"/>
    </w:rPr>
  </w:style>
  <w:style w:type="character" w:customStyle="1" w:styleId="berschrift9Zchn">
    <w:name w:val="Überschrift 9 Zchn"/>
    <w:aliases w:val="forbidden Zchn"/>
    <w:basedOn w:val="Absatz-Standardschriftart"/>
    <w:link w:val="berschrift9"/>
    <w:rsid w:val="00943B61"/>
    <w:rPr>
      <w:rFonts w:ascii="Arial" w:eastAsia="Times New Roman" w:hAnsi="Arial" w:cs="Times New Roman"/>
      <w:sz w:val="22"/>
      <w:szCs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943B61"/>
    <w:pPr>
      <w:ind w:left="708"/>
    </w:pPr>
    <w:rPr>
      <w:rFonts w:ascii="Times New Roman" w:eastAsia="MS Mincho" w:hAnsi="Times New Roman" w:cs="Times New Roman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AB3C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3CB7"/>
  </w:style>
  <w:style w:type="paragraph" w:styleId="Fuzeile">
    <w:name w:val="footer"/>
    <w:basedOn w:val="Standard"/>
    <w:link w:val="FuzeileZchn"/>
    <w:unhideWhenUsed/>
    <w:rsid w:val="00AB3C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3CB7"/>
  </w:style>
  <w:style w:type="character" w:customStyle="1" w:styleId="FuzeileZchn1">
    <w:name w:val="Fußzeile Zchn1"/>
    <w:locked/>
    <w:rsid w:val="00AB3CB7"/>
    <w:rPr>
      <w:rFonts w:cs="Times New Roman"/>
      <w:sz w:val="24"/>
      <w:szCs w:val="24"/>
      <w:lang w:eastAsia="ja-JP"/>
    </w:rPr>
  </w:style>
  <w:style w:type="character" w:styleId="Seitenzahl">
    <w:name w:val="page number"/>
    <w:semiHidden/>
    <w:rsid w:val="00AB3CB7"/>
    <w:rPr>
      <w:rFonts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04D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4D7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4D7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4D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4D77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33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8C3F5-88F6-4904-8C8B-526658AB2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Rinnerthaler</dc:creator>
  <cp:keywords/>
  <dc:description/>
  <cp:lastModifiedBy>Alexandra Keuschnig</cp:lastModifiedBy>
  <cp:revision>7</cp:revision>
  <cp:lastPrinted>2020-11-09T10:41:00Z</cp:lastPrinted>
  <dcterms:created xsi:type="dcterms:W3CDTF">2020-09-22T12:27:00Z</dcterms:created>
  <dcterms:modified xsi:type="dcterms:W3CDTF">2020-11-09T11:59:00Z</dcterms:modified>
</cp:coreProperties>
</file>