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E86" w:rsidRPr="00C02CB8" w:rsidRDefault="00776E86" w:rsidP="00AB3073">
      <w:pPr>
        <w:spacing w:after="0" w:line="360" w:lineRule="auto"/>
        <w:jc w:val="both"/>
        <w:rPr>
          <w:b/>
          <w:sz w:val="28"/>
          <w:szCs w:val="24"/>
        </w:rPr>
      </w:pPr>
      <w:r w:rsidRPr="00C02CB8">
        <w:rPr>
          <w:b/>
          <w:sz w:val="28"/>
          <w:szCs w:val="24"/>
        </w:rPr>
        <w:t>Supplementary Methods</w:t>
      </w:r>
    </w:p>
    <w:p w:rsidR="00776E86" w:rsidRPr="00C02CB8" w:rsidRDefault="00CD2CFD" w:rsidP="00AB3073">
      <w:pPr>
        <w:spacing w:after="0" w:line="360" w:lineRule="auto"/>
        <w:jc w:val="both"/>
        <w:rPr>
          <w:sz w:val="24"/>
          <w:szCs w:val="24"/>
        </w:rPr>
      </w:pPr>
      <w:r w:rsidRPr="00C02CB8">
        <w:rPr>
          <w:sz w:val="24"/>
          <w:szCs w:val="24"/>
        </w:rPr>
        <w:t xml:space="preserve">qRT-PCR of target genes was performed with GoTaq® qPCR Master Mix (Promega) in a </w:t>
      </w:r>
      <w:r w:rsidR="00551646" w:rsidRPr="00C02CB8">
        <w:rPr>
          <w:sz w:val="24"/>
          <w:szCs w:val="24"/>
        </w:rPr>
        <w:t>LightCycler </w:t>
      </w:r>
      <w:r w:rsidRPr="00C02CB8">
        <w:rPr>
          <w:sz w:val="24"/>
          <w:szCs w:val="24"/>
        </w:rPr>
        <w:t>480 system (Roche Diagnostics) at the follow</w:t>
      </w:r>
      <w:r w:rsidR="00551646" w:rsidRPr="00C02CB8">
        <w:rPr>
          <w:sz w:val="24"/>
          <w:szCs w:val="24"/>
        </w:rPr>
        <w:t>ing PCR conditions: 95</w:t>
      </w:r>
      <w:r w:rsidRPr="00C02CB8">
        <w:rPr>
          <w:sz w:val="24"/>
          <w:szCs w:val="24"/>
        </w:rPr>
        <w:t>°C for 2 min followed by 45 cycles of 95°C for 7 s, 60°C for 10 s and 72°C for 20 s, in duplicates. T</w:t>
      </w:r>
      <w:bookmarkStart w:id="0" w:name="_GoBack"/>
      <w:bookmarkEnd w:id="0"/>
      <w:r w:rsidRPr="00C02CB8">
        <w:rPr>
          <w:sz w:val="24"/>
          <w:szCs w:val="24"/>
        </w:rPr>
        <w:t>he primers for MACC1, TfR, SH3BP4 and GAPDH were as follows: MACC1 forward, 5'</w:t>
      </w:r>
      <w:r w:rsidRPr="00C02CB8">
        <w:rPr>
          <w:sz w:val="24"/>
          <w:szCs w:val="24"/>
        </w:rPr>
        <w:noBreakHyphen/>
        <w:t>TTCTTTTGATTCCTCCGGTGA</w:t>
      </w:r>
      <w:r w:rsidRPr="00C02CB8">
        <w:rPr>
          <w:sz w:val="24"/>
          <w:szCs w:val="24"/>
        </w:rPr>
        <w:noBreakHyphen/>
        <w:t>3' and reverse, 5'</w:t>
      </w:r>
      <w:r w:rsidRPr="00C02CB8">
        <w:rPr>
          <w:sz w:val="24"/>
          <w:szCs w:val="24"/>
        </w:rPr>
        <w:noBreakHyphen/>
        <w:t>ACTCTGATGGGCATGTGCTG</w:t>
      </w:r>
      <w:r w:rsidRPr="00C02CB8">
        <w:rPr>
          <w:sz w:val="24"/>
          <w:szCs w:val="24"/>
        </w:rPr>
        <w:noBreakHyphen/>
        <w:t>3'; TfR forward, 5'</w:t>
      </w:r>
      <w:r w:rsidRPr="00C02CB8">
        <w:rPr>
          <w:sz w:val="24"/>
          <w:szCs w:val="24"/>
        </w:rPr>
        <w:noBreakHyphen/>
        <w:t>GGCTACTTGGGCTATTGTAAAGG</w:t>
      </w:r>
      <w:r w:rsidRPr="00C02CB8">
        <w:rPr>
          <w:sz w:val="24"/>
          <w:szCs w:val="24"/>
        </w:rPr>
        <w:noBreakHyphen/>
        <w:t>3' and reverse, 5'</w:t>
      </w:r>
      <w:r w:rsidRPr="00C02CB8">
        <w:rPr>
          <w:sz w:val="24"/>
          <w:szCs w:val="24"/>
        </w:rPr>
        <w:noBreakHyphen/>
        <w:t>CAGTTTCTCCGACAACTTTCTCT</w:t>
      </w:r>
      <w:r w:rsidRPr="00C02CB8">
        <w:rPr>
          <w:sz w:val="24"/>
          <w:szCs w:val="24"/>
        </w:rPr>
        <w:noBreakHyphen/>
        <w:t>3'; SH3BP4 forward, 5'</w:t>
      </w:r>
      <w:r w:rsidRPr="00C02CB8">
        <w:rPr>
          <w:sz w:val="24"/>
          <w:szCs w:val="24"/>
        </w:rPr>
        <w:noBreakHyphen/>
        <w:t>ACAACACCACCGAAATGGG</w:t>
      </w:r>
      <w:r w:rsidRPr="00C02CB8">
        <w:rPr>
          <w:sz w:val="24"/>
          <w:szCs w:val="24"/>
        </w:rPr>
        <w:noBreakHyphen/>
        <w:t>3' and reverse, 5'</w:t>
      </w:r>
      <w:r w:rsidRPr="00C02CB8">
        <w:rPr>
          <w:sz w:val="24"/>
          <w:szCs w:val="24"/>
        </w:rPr>
        <w:noBreakHyphen/>
        <w:t>ATCATACCGCTGTCACTCAGT</w:t>
      </w:r>
      <w:r w:rsidRPr="00C02CB8">
        <w:rPr>
          <w:sz w:val="24"/>
          <w:szCs w:val="24"/>
        </w:rPr>
        <w:noBreakHyphen/>
        <w:t>3'; EGFR forward 5’</w:t>
      </w:r>
      <w:r w:rsidRPr="00C02CB8">
        <w:rPr>
          <w:sz w:val="24"/>
          <w:szCs w:val="24"/>
        </w:rPr>
        <w:noBreakHyphen/>
        <w:t>AGG CACGAGTAACAAGCTCAC</w:t>
      </w:r>
      <w:r w:rsidRPr="00C02CB8">
        <w:rPr>
          <w:sz w:val="24"/>
          <w:szCs w:val="24"/>
        </w:rPr>
        <w:noBreakHyphen/>
        <w:t>3’ and reverse, 5’</w:t>
      </w:r>
      <w:r w:rsidRPr="00C02CB8">
        <w:rPr>
          <w:sz w:val="24"/>
          <w:szCs w:val="24"/>
        </w:rPr>
        <w:noBreakHyphen/>
        <w:t>ATGAGGACATAACCAGCCACC</w:t>
      </w:r>
      <w:r w:rsidRPr="00C02CB8">
        <w:rPr>
          <w:sz w:val="24"/>
          <w:szCs w:val="24"/>
        </w:rPr>
        <w:noBreakHyphen/>
        <w:t>3’; GAPDH forward, 5'</w:t>
      </w:r>
      <w:r w:rsidRPr="00C02CB8">
        <w:rPr>
          <w:sz w:val="24"/>
          <w:szCs w:val="24"/>
        </w:rPr>
        <w:noBreakHyphen/>
        <w:t>GAAGATGGTGATGGGATTTC</w:t>
      </w:r>
      <w:r w:rsidRPr="00C02CB8">
        <w:rPr>
          <w:sz w:val="24"/>
          <w:szCs w:val="24"/>
        </w:rPr>
        <w:noBreakHyphen/>
        <w:t>3' and reverse, 5'</w:t>
      </w:r>
      <w:r w:rsidRPr="00C02CB8">
        <w:rPr>
          <w:sz w:val="24"/>
          <w:szCs w:val="24"/>
        </w:rPr>
        <w:noBreakHyphen/>
        <w:t>GAAGGTGAAGGTCGGAGT</w:t>
      </w:r>
      <w:r w:rsidRPr="00C02CB8">
        <w:rPr>
          <w:sz w:val="24"/>
          <w:szCs w:val="24"/>
        </w:rPr>
        <w:noBreakHyphen/>
        <w:t>3'.</w:t>
      </w:r>
    </w:p>
    <w:p w:rsidR="00776E86" w:rsidRPr="00C02CB8" w:rsidRDefault="00776E86" w:rsidP="00AB3073">
      <w:pPr>
        <w:spacing w:after="0" w:line="360" w:lineRule="auto"/>
        <w:jc w:val="both"/>
        <w:rPr>
          <w:b/>
          <w:sz w:val="28"/>
          <w:szCs w:val="24"/>
        </w:rPr>
      </w:pPr>
    </w:p>
    <w:p w:rsidR="00D1580C" w:rsidRPr="00C02CB8" w:rsidRDefault="00D1580C" w:rsidP="00AB3073">
      <w:pPr>
        <w:spacing w:after="0" w:line="360" w:lineRule="auto"/>
        <w:jc w:val="both"/>
        <w:rPr>
          <w:b/>
          <w:sz w:val="28"/>
          <w:szCs w:val="24"/>
        </w:rPr>
      </w:pPr>
      <w:r w:rsidRPr="00C02CB8">
        <w:rPr>
          <w:b/>
          <w:sz w:val="28"/>
          <w:szCs w:val="24"/>
        </w:rPr>
        <w:t>Supplementary Table</w:t>
      </w:r>
      <w:r w:rsidR="00551646" w:rsidRPr="00C02CB8">
        <w:rPr>
          <w:b/>
          <w:sz w:val="28"/>
          <w:szCs w:val="24"/>
        </w:rPr>
        <w:t> </w:t>
      </w:r>
      <w:r w:rsidR="000B2191" w:rsidRPr="00C02CB8">
        <w:rPr>
          <w:b/>
          <w:sz w:val="28"/>
          <w:szCs w:val="24"/>
        </w:rPr>
        <w:t>1</w:t>
      </w:r>
      <w:r w:rsidR="001955AE" w:rsidRPr="00C02CB8">
        <w:rPr>
          <w:b/>
          <w:sz w:val="28"/>
          <w:szCs w:val="24"/>
        </w:rPr>
        <w:t>: Antibodies used for WB</w:t>
      </w:r>
    </w:p>
    <w:tbl>
      <w:tblPr>
        <w:tblW w:w="15329" w:type="dxa"/>
        <w:tblInd w:w="-34" w:type="dxa"/>
        <w:tblLayout w:type="fixed"/>
        <w:tblLook w:val="01E0" w:firstRow="1" w:lastRow="1" w:firstColumn="1" w:lastColumn="1" w:noHBand="0" w:noVBand="0"/>
      </w:tblPr>
      <w:tblGrid>
        <w:gridCol w:w="3119"/>
        <w:gridCol w:w="4678"/>
        <w:gridCol w:w="1810"/>
        <w:gridCol w:w="5722"/>
      </w:tblGrid>
      <w:tr w:rsidR="00C02CB8" w:rsidRPr="00C02CB8" w:rsidTr="002032BD">
        <w:trPr>
          <w:gridAfter w:val="2"/>
          <w:wAfter w:w="7532" w:type="dxa"/>
          <w:cantSplit/>
          <w:trHeight w:val="352"/>
        </w:trPr>
        <w:tc>
          <w:tcPr>
            <w:tcW w:w="3119" w:type="dxa"/>
            <w:tcBorders>
              <w:top w:val="single" w:sz="4" w:space="0" w:color="auto"/>
              <w:bottom w:val="single" w:sz="4" w:space="0" w:color="auto"/>
            </w:tcBorders>
            <w:shd w:val="clear" w:color="auto" w:fill="auto"/>
            <w:vAlign w:val="center"/>
          </w:tcPr>
          <w:p w:rsidR="00B32DF4" w:rsidRPr="00C02CB8" w:rsidRDefault="00B32DF4" w:rsidP="00AB3073">
            <w:pPr>
              <w:spacing w:after="0" w:line="360" w:lineRule="auto"/>
              <w:jc w:val="both"/>
              <w:rPr>
                <w:rFonts w:eastAsia="Times New Roman" w:cs="Calibri"/>
                <w:b/>
                <w:sz w:val="24"/>
                <w:szCs w:val="24"/>
                <w:lang w:eastAsia="de-DE"/>
              </w:rPr>
            </w:pPr>
            <w:r w:rsidRPr="00C02CB8">
              <w:rPr>
                <w:rFonts w:eastAsia="Times New Roman" w:cs="Calibri"/>
                <w:b/>
                <w:sz w:val="24"/>
                <w:szCs w:val="24"/>
                <w:lang w:eastAsia="de-DE"/>
              </w:rPr>
              <w:t>Target</w:t>
            </w:r>
          </w:p>
        </w:tc>
        <w:tc>
          <w:tcPr>
            <w:tcW w:w="4678" w:type="dxa"/>
            <w:tcBorders>
              <w:top w:val="single" w:sz="4" w:space="0" w:color="auto"/>
              <w:bottom w:val="single" w:sz="4" w:space="0" w:color="auto"/>
            </w:tcBorders>
            <w:shd w:val="clear" w:color="auto" w:fill="auto"/>
            <w:vAlign w:val="center"/>
          </w:tcPr>
          <w:p w:rsidR="00B32DF4" w:rsidRPr="00C02CB8" w:rsidRDefault="00B32DF4" w:rsidP="00BD4F5E">
            <w:pPr>
              <w:spacing w:after="0" w:line="360" w:lineRule="auto"/>
              <w:jc w:val="both"/>
              <w:rPr>
                <w:rFonts w:eastAsia="Times New Roman" w:cs="Calibri"/>
                <w:b/>
                <w:sz w:val="24"/>
                <w:szCs w:val="24"/>
                <w:lang w:eastAsia="de-DE"/>
              </w:rPr>
            </w:pPr>
            <w:r w:rsidRPr="00C02CB8">
              <w:rPr>
                <w:rFonts w:eastAsia="Times New Roman" w:cs="Calibri"/>
                <w:b/>
                <w:sz w:val="24"/>
                <w:szCs w:val="24"/>
                <w:lang w:eastAsia="de-DE"/>
              </w:rPr>
              <w:t>Company</w:t>
            </w:r>
            <w:r w:rsidR="00BD4F5E" w:rsidRPr="00C02CB8">
              <w:rPr>
                <w:rFonts w:eastAsia="Times New Roman" w:cs="Calibri"/>
                <w:b/>
                <w:sz w:val="24"/>
                <w:szCs w:val="24"/>
                <w:lang w:eastAsia="de-DE"/>
              </w:rPr>
              <w:t xml:space="preserve"> and Concentrations</w:t>
            </w:r>
          </w:p>
        </w:tc>
      </w:tr>
      <w:tr w:rsidR="00C02CB8" w:rsidRPr="00C02CB8" w:rsidTr="002032BD">
        <w:trPr>
          <w:gridAfter w:val="1"/>
          <w:wAfter w:w="5722" w:type="dxa"/>
          <w:cantSplit/>
          <w:trHeight w:val="352"/>
        </w:trPr>
        <w:tc>
          <w:tcPr>
            <w:tcW w:w="3119" w:type="dxa"/>
            <w:shd w:val="clear" w:color="auto" w:fill="auto"/>
            <w:vAlign w:val="center"/>
          </w:tcPr>
          <w:p w:rsidR="00B32DF4" w:rsidRPr="00C02CB8" w:rsidRDefault="00B32DF4" w:rsidP="00AB3073">
            <w:pPr>
              <w:spacing w:after="0" w:line="360" w:lineRule="auto"/>
              <w:jc w:val="both"/>
              <w:rPr>
                <w:rFonts w:eastAsia="Times New Roman" w:cs="Calibri"/>
                <w:b/>
                <w:bCs/>
                <w:sz w:val="24"/>
                <w:szCs w:val="24"/>
                <w:u w:val="single"/>
                <w:lang w:eastAsia="de-DE"/>
              </w:rPr>
            </w:pPr>
            <w:r w:rsidRPr="00C02CB8">
              <w:rPr>
                <w:rFonts w:eastAsia="Times New Roman" w:cs="Calibri"/>
                <w:b/>
                <w:bCs/>
                <w:sz w:val="24"/>
                <w:szCs w:val="24"/>
                <w:u w:val="single"/>
                <w:lang w:eastAsia="de-DE"/>
              </w:rPr>
              <w:t>Primary Antibodies</w:t>
            </w:r>
          </w:p>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Anti-β-Actin (clone AC-15)</w:t>
            </w:r>
          </w:p>
        </w:tc>
        <w:tc>
          <w:tcPr>
            <w:tcW w:w="6488" w:type="dxa"/>
            <w:gridSpan w:val="2"/>
            <w:shd w:val="clear" w:color="auto" w:fill="auto"/>
            <w:vAlign w:val="center"/>
          </w:tcPr>
          <w:p w:rsidR="0049480B" w:rsidRPr="00C02CB8" w:rsidRDefault="0049480B" w:rsidP="00AB3073">
            <w:pPr>
              <w:spacing w:after="0" w:line="360" w:lineRule="auto"/>
              <w:jc w:val="both"/>
              <w:rPr>
                <w:rFonts w:eastAsia="Times New Roman" w:cs="Calibri"/>
                <w:sz w:val="24"/>
                <w:szCs w:val="24"/>
                <w:lang w:eastAsia="de-DE"/>
              </w:rPr>
            </w:pPr>
          </w:p>
          <w:p w:rsidR="00B32DF4" w:rsidRPr="00C02CB8" w:rsidRDefault="00B32DF4"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Mouse monoclonal, Pierce</w:t>
            </w:r>
            <w:r w:rsidR="00BD4F5E" w:rsidRPr="00C02CB8">
              <w:rPr>
                <w:rFonts w:eastAsia="Times New Roman" w:cs="Calibri"/>
                <w:sz w:val="24"/>
                <w:szCs w:val="24"/>
                <w:lang w:eastAsia="de-DE"/>
              </w:rPr>
              <w:t xml:space="preserve"> (1:20.000)</w:t>
            </w:r>
          </w:p>
        </w:tc>
      </w:tr>
      <w:tr w:rsidR="00C02CB8" w:rsidRPr="00C02CB8" w:rsidTr="002032BD">
        <w:trPr>
          <w:gridAfter w:val="1"/>
          <w:wAfter w:w="5722" w:type="dxa"/>
          <w:cantSplit/>
          <w:trHeight w:val="352"/>
        </w:trPr>
        <w:tc>
          <w:tcPr>
            <w:tcW w:w="3119" w:type="dxa"/>
            <w:shd w:val="clear" w:color="auto" w:fill="auto"/>
            <w:vAlign w:val="center"/>
          </w:tcPr>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 xml:space="preserve">Anti-MACC1 </w:t>
            </w:r>
          </w:p>
        </w:tc>
        <w:tc>
          <w:tcPr>
            <w:tcW w:w="6488" w:type="dxa"/>
            <w:gridSpan w:val="2"/>
            <w:shd w:val="clear" w:color="auto" w:fill="auto"/>
            <w:vAlign w:val="center"/>
          </w:tcPr>
          <w:p w:rsidR="00B32DF4" w:rsidRPr="00C02CB8" w:rsidRDefault="00B32DF4"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Rabbit polyclonal, Sigma</w:t>
            </w:r>
            <w:r w:rsidR="00BD4F5E" w:rsidRPr="00C02CB8">
              <w:rPr>
                <w:rFonts w:eastAsia="Times New Roman" w:cs="Calibri"/>
                <w:sz w:val="24"/>
                <w:szCs w:val="24"/>
                <w:lang w:eastAsia="de-DE"/>
              </w:rPr>
              <w:t xml:space="preserve"> (1:1000)</w:t>
            </w:r>
          </w:p>
        </w:tc>
      </w:tr>
      <w:tr w:rsidR="00C02CB8" w:rsidRPr="00C02CB8" w:rsidTr="002032BD">
        <w:trPr>
          <w:gridAfter w:val="1"/>
          <w:wAfter w:w="5722" w:type="dxa"/>
          <w:cantSplit/>
          <w:trHeight w:val="352"/>
        </w:trPr>
        <w:tc>
          <w:tcPr>
            <w:tcW w:w="3119" w:type="dxa"/>
            <w:shd w:val="clear" w:color="auto" w:fill="auto"/>
            <w:vAlign w:val="center"/>
          </w:tcPr>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Anti-TfR (13-6800)</w:t>
            </w:r>
          </w:p>
        </w:tc>
        <w:tc>
          <w:tcPr>
            <w:tcW w:w="6488" w:type="dxa"/>
            <w:gridSpan w:val="2"/>
            <w:shd w:val="clear" w:color="auto" w:fill="auto"/>
            <w:vAlign w:val="center"/>
          </w:tcPr>
          <w:p w:rsidR="00B32DF4" w:rsidRPr="00C02CB8" w:rsidRDefault="00B32DF4"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Mouse monoclonal, Thermo Scientific</w:t>
            </w:r>
            <w:r w:rsidR="00BD4F5E" w:rsidRPr="00C02CB8">
              <w:rPr>
                <w:rFonts w:eastAsia="Times New Roman" w:cs="Calibri"/>
                <w:sz w:val="24"/>
                <w:szCs w:val="24"/>
                <w:lang w:eastAsia="de-DE"/>
              </w:rPr>
              <w:t xml:space="preserve"> (1:1000)</w:t>
            </w:r>
          </w:p>
        </w:tc>
      </w:tr>
      <w:tr w:rsidR="00C02CB8" w:rsidRPr="00C02CB8" w:rsidTr="002032BD">
        <w:trPr>
          <w:gridAfter w:val="1"/>
          <w:wAfter w:w="5722" w:type="dxa"/>
          <w:cantSplit/>
          <w:trHeight w:val="352"/>
        </w:trPr>
        <w:tc>
          <w:tcPr>
            <w:tcW w:w="3119" w:type="dxa"/>
            <w:shd w:val="clear" w:color="auto" w:fill="auto"/>
            <w:vAlign w:val="center"/>
          </w:tcPr>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Anti-CLTC (c-20)</w:t>
            </w:r>
          </w:p>
        </w:tc>
        <w:tc>
          <w:tcPr>
            <w:tcW w:w="6488" w:type="dxa"/>
            <w:gridSpan w:val="2"/>
            <w:shd w:val="clear" w:color="auto" w:fill="auto"/>
            <w:vAlign w:val="center"/>
          </w:tcPr>
          <w:p w:rsidR="00B32DF4" w:rsidRPr="00C02CB8" w:rsidRDefault="00B32DF4"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Goat polyclonal, Santa Cruz</w:t>
            </w:r>
            <w:r w:rsidR="00BD4F5E" w:rsidRPr="00C02CB8">
              <w:rPr>
                <w:rFonts w:eastAsia="Times New Roman" w:cs="Calibri"/>
                <w:sz w:val="24"/>
                <w:szCs w:val="24"/>
                <w:lang w:eastAsia="de-DE"/>
              </w:rPr>
              <w:t xml:space="preserve"> (1:1000)</w:t>
            </w:r>
          </w:p>
        </w:tc>
      </w:tr>
      <w:tr w:rsidR="00C02CB8" w:rsidRPr="00C02CB8" w:rsidTr="002032BD">
        <w:trPr>
          <w:gridAfter w:val="1"/>
          <w:wAfter w:w="5722" w:type="dxa"/>
          <w:cantSplit/>
          <w:trHeight w:val="352"/>
        </w:trPr>
        <w:tc>
          <w:tcPr>
            <w:tcW w:w="3119" w:type="dxa"/>
            <w:shd w:val="clear" w:color="auto" w:fill="auto"/>
            <w:vAlign w:val="center"/>
          </w:tcPr>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Anti-DNM2 (c-18)</w:t>
            </w:r>
          </w:p>
        </w:tc>
        <w:tc>
          <w:tcPr>
            <w:tcW w:w="6488" w:type="dxa"/>
            <w:gridSpan w:val="2"/>
            <w:shd w:val="clear" w:color="auto" w:fill="auto"/>
            <w:vAlign w:val="center"/>
          </w:tcPr>
          <w:p w:rsidR="00B32DF4" w:rsidRPr="00C02CB8" w:rsidRDefault="00B32DF4"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Goat polyclonal, Santa Cruz</w:t>
            </w:r>
            <w:r w:rsidR="00BD4F5E" w:rsidRPr="00C02CB8">
              <w:rPr>
                <w:rFonts w:eastAsia="Times New Roman" w:cs="Calibri"/>
                <w:sz w:val="24"/>
                <w:szCs w:val="24"/>
                <w:lang w:eastAsia="de-DE"/>
              </w:rPr>
              <w:t xml:space="preserve"> (1:1000)</w:t>
            </w:r>
          </w:p>
        </w:tc>
      </w:tr>
      <w:tr w:rsidR="00C02CB8" w:rsidRPr="00C02CB8" w:rsidTr="002032BD">
        <w:trPr>
          <w:gridAfter w:val="1"/>
          <w:wAfter w:w="5722" w:type="dxa"/>
          <w:cantSplit/>
          <w:trHeight w:val="352"/>
        </w:trPr>
        <w:tc>
          <w:tcPr>
            <w:tcW w:w="3119" w:type="dxa"/>
            <w:shd w:val="clear" w:color="auto" w:fill="auto"/>
            <w:vAlign w:val="center"/>
          </w:tcPr>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Anti-AP2α (c-8)</w:t>
            </w:r>
          </w:p>
        </w:tc>
        <w:tc>
          <w:tcPr>
            <w:tcW w:w="6488" w:type="dxa"/>
            <w:gridSpan w:val="2"/>
            <w:shd w:val="clear" w:color="auto" w:fill="auto"/>
            <w:vAlign w:val="center"/>
          </w:tcPr>
          <w:p w:rsidR="00B32DF4" w:rsidRPr="00C02CB8" w:rsidRDefault="00B32DF4"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Mouse monoclonal, Santa Cruz</w:t>
            </w:r>
            <w:r w:rsidR="00BD4F5E" w:rsidRPr="00C02CB8">
              <w:rPr>
                <w:rFonts w:eastAsia="Times New Roman" w:cs="Calibri"/>
                <w:sz w:val="24"/>
                <w:szCs w:val="24"/>
                <w:lang w:eastAsia="de-DE"/>
              </w:rPr>
              <w:t xml:space="preserve"> (1:1000)</w:t>
            </w:r>
          </w:p>
        </w:tc>
      </w:tr>
      <w:tr w:rsidR="00C02CB8" w:rsidRPr="00C02CB8" w:rsidTr="002032BD">
        <w:trPr>
          <w:gridAfter w:val="1"/>
          <w:wAfter w:w="5722" w:type="dxa"/>
          <w:cantSplit/>
          <w:trHeight w:val="352"/>
        </w:trPr>
        <w:tc>
          <w:tcPr>
            <w:tcW w:w="3119" w:type="dxa"/>
            <w:shd w:val="clear" w:color="auto" w:fill="auto"/>
            <w:vAlign w:val="center"/>
          </w:tcPr>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Anti-EGFR (1005)</w:t>
            </w:r>
          </w:p>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Anti-EGFR (A-10)</w:t>
            </w:r>
          </w:p>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Anti-p-EGFR (Tyr 1068)</w:t>
            </w:r>
          </w:p>
          <w:p w:rsidR="00B32DF4" w:rsidRPr="00C02CB8" w:rsidRDefault="00B32DF4" w:rsidP="00AB3073">
            <w:pPr>
              <w:spacing w:after="0" w:line="360" w:lineRule="auto"/>
              <w:rPr>
                <w:rFonts w:eastAsia="Times New Roman" w:cs="Calibri"/>
                <w:sz w:val="24"/>
                <w:szCs w:val="24"/>
                <w:lang w:eastAsia="de-DE"/>
              </w:rPr>
            </w:pPr>
            <w:r w:rsidRPr="00C02CB8">
              <w:rPr>
                <w:rFonts w:eastAsia="Times New Roman" w:cs="Calibri"/>
                <w:sz w:val="24"/>
                <w:szCs w:val="24"/>
                <w:lang w:eastAsia="de-DE"/>
              </w:rPr>
              <w:t>Anti-p44/42</w:t>
            </w:r>
          </w:p>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 Phospho-p44/42</w:t>
            </w:r>
          </w:p>
        </w:tc>
        <w:tc>
          <w:tcPr>
            <w:tcW w:w="6488" w:type="dxa"/>
            <w:gridSpan w:val="2"/>
            <w:shd w:val="clear" w:color="auto" w:fill="auto"/>
            <w:vAlign w:val="center"/>
          </w:tcPr>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Rabbit polyclonal, Santa Cruz</w:t>
            </w:r>
            <w:r w:rsidR="00BD4F5E" w:rsidRPr="00C02CB8">
              <w:rPr>
                <w:rFonts w:eastAsia="Times New Roman" w:cs="Calibri"/>
                <w:sz w:val="24"/>
                <w:szCs w:val="24"/>
                <w:lang w:eastAsia="de-DE"/>
              </w:rPr>
              <w:t xml:space="preserve"> (1:1000)</w:t>
            </w:r>
          </w:p>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Mouse monoclonal, Santa Cruz</w:t>
            </w:r>
            <w:r w:rsidR="00BD4F5E" w:rsidRPr="00C02CB8">
              <w:rPr>
                <w:rFonts w:eastAsia="Times New Roman" w:cs="Calibri"/>
                <w:sz w:val="24"/>
                <w:szCs w:val="24"/>
                <w:lang w:eastAsia="de-DE"/>
              </w:rPr>
              <w:t xml:space="preserve"> (1:1000)</w:t>
            </w:r>
          </w:p>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Rabbit polyclonal, Cell Signaling</w:t>
            </w:r>
            <w:r w:rsidR="00BD4F5E" w:rsidRPr="00C02CB8">
              <w:rPr>
                <w:rFonts w:eastAsia="Times New Roman" w:cs="Calibri"/>
                <w:sz w:val="24"/>
                <w:szCs w:val="24"/>
                <w:lang w:eastAsia="de-DE"/>
              </w:rPr>
              <w:t xml:space="preserve"> (1:1000)</w:t>
            </w:r>
          </w:p>
          <w:p w:rsidR="00B32DF4" w:rsidRPr="00C02CB8" w:rsidRDefault="00B32DF4"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Rabbit polyclonal, Cell Signaling</w:t>
            </w:r>
            <w:r w:rsidR="00BD4F5E" w:rsidRPr="00C02CB8">
              <w:rPr>
                <w:rFonts w:eastAsia="Times New Roman" w:cs="Calibri"/>
                <w:sz w:val="24"/>
                <w:szCs w:val="24"/>
                <w:lang w:eastAsia="de-DE"/>
              </w:rPr>
              <w:t xml:space="preserve"> (1:1000)</w:t>
            </w:r>
          </w:p>
          <w:p w:rsidR="00B32DF4" w:rsidRPr="00C02CB8" w:rsidRDefault="00B32DF4"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Rabbit polyclonal, Cell Signaling</w:t>
            </w:r>
            <w:r w:rsidR="00BD4F5E" w:rsidRPr="00C02CB8">
              <w:rPr>
                <w:rFonts w:eastAsia="Times New Roman" w:cs="Calibri"/>
                <w:sz w:val="24"/>
                <w:szCs w:val="24"/>
                <w:lang w:eastAsia="de-DE"/>
              </w:rPr>
              <w:t xml:space="preserve"> (1:1000)</w:t>
            </w:r>
          </w:p>
        </w:tc>
      </w:tr>
      <w:tr w:rsidR="00C02CB8" w:rsidRPr="00C02CB8" w:rsidTr="002032BD">
        <w:trPr>
          <w:cantSplit/>
          <w:trHeight w:val="352"/>
        </w:trPr>
        <w:tc>
          <w:tcPr>
            <w:tcW w:w="3119" w:type="dxa"/>
            <w:shd w:val="clear" w:color="auto" w:fill="auto"/>
            <w:vAlign w:val="center"/>
          </w:tcPr>
          <w:p w:rsidR="004647E7" w:rsidRPr="00C02CB8" w:rsidRDefault="004647E7" w:rsidP="00AB3073">
            <w:pPr>
              <w:spacing w:after="0" w:line="360" w:lineRule="auto"/>
              <w:jc w:val="both"/>
              <w:rPr>
                <w:rFonts w:eastAsia="Times New Roman" w:cs="Calibri"/>
                <w:b/>
                <w:bCs/>
                <w:sz w:val="24"/>
                <w:szCs w:val="24"/>
                <w:u w:val="single"/>
                <w:lang w:eastAsia="de-DE"/>
              </w:rPr>
            </w:pPr>
            <w:r w:rsidRPr="00C02CB8">
              <w:rPr>
                <w:rFonts w:eastAsia="Times New Roman" w:cs="Calibri"/>
                <w:b/>
                <w:bCs/>
                <w:sz w:val="24"/>
                <w:szCs w:val="24"/>
                <w:u w:val="single"/>
                <w:lang w:eastAsia="de-DE"/>
              </w:rPr>
              <w:t>Secondary antibodies</w:t>
            </w:r>
          </w:p>
          <w:p w:rsidR="004647E7" w:rsidRPr="00C02CB8" w:rsidRDefault="004647E7"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Anti-rabbit-HRP (</w:t>
            </w:r>
            <w:r w:rsidRPr="00C02CB8">
              <w:rPr>
                <w:rFonts w:cs="Calibri"/>
                <w:sz w:val="24"/>
                <w:szCs w:val="24"/>
              </w:rPr>
              <w:t>W401B)</w:t>
            </w:r>
          </w:p>
        </w:tc>
        <w:tc>
          <w:tcPr>
            <w:tcW w:w="6488" w:type="dxa"/>
            <w:gridSpan w:val="2"/>
            <w:shd w:val="clear" w:color="auto" w:fill="auto"/>
            <w:vAlign w:val="center"/>
          </w:tcPr>
          <w:p w:rsidR="004647E7" w:rsidRPr="00C02CB8" w:rsidRDefault="004647E7" w:rsidP="00AB3073">
            <w:pPr>
              <w:spacing w:after="0" w:line="360" w:lineRule="auto"/>
              <w:jc w:val="both"/>
              <w:rPr>
                <w:rFonts w:eastAsia="Times New Roman" w:cs="Calibri"/>
                <w:sz w:val="24"/>
                <w:szCs w:val="24"/>
                <w:lang w:eastAsia="de-DE"/>
              </w:rPr>
            </w:pPr>
          </w:p>
          <w:p w:rsidR="004647E7" w:rsidRPr="00C02CB8" w:rsidRDefault="004647E7"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HRP conjugated antibody, Promega</w:t>
            </w:r>
            <w:r w:rsidR="00BD4F5E" w:rsidRPr="00C02CB8">
              <w:rPr>
                <w:rFonts w:eastAsia="Times New Roman" w:cs="Calibri"/>
                <w:sz w:val="24"/>
                <w:szCs w:val="24"/>
                <w:lang w:eastAsia="de-DE"/>
              </w:rPr>
              <w:t xml:space="preserve"> (1:10.000)</w:t>
            </w:r>
          </w:p>
        </w:tc>
        <w:tc>
          <w:tcPr>
            <w:tcW w:w="5722" w:type="dxa"/>
          </w:tcPr>
          <w:p w:rsidR="004647E7" w:rsidRPr="00C02CB8" w:rsidRDefault="004647E7" w:rsidP="00AB3073">
            <w:pPr>
              <w:spacing w:after="0" w:line="360" w:lineRule="auto"/>
              <w:jc w:val="both"/>
              <w:rPr>
                <w:rFonts w:eastAsia="Times New Roman" w:cs="Calibri"/>
                <w:sz w:val="24"/>
                <w:szCs w:val="24"/>
                <w:lang w:eastAsia="de-DE"/>
              </w:rPr>
            </w:pPr>
          </w:p>
        </w:tc>
      </w:tr>
      <w:tr w:rsidR="00C02CB8" w:rsidRPr="00C02CB8" w:rsidTr="002032BD">
        <w:trPr>
          <w:cantSplit/>
          <w:trHeight w:val="352"/>
        </w:trPr>
        <w:tc>
          <w:tcPr>
            <w:tcW w:w="3119" w:type="dxa"/>
            <w:shd w:val="clear" w:color="auto" w:fill="auto"/>
            <w:vAlign w:val="center"/>
          </w:tcPr>
          <w:p w:rsidR="004647E7" w:rsidRPr="00C02CB8" w:rsidRDefault="004647E7"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Anti-mouse-HRP</w:t>
            </w:r>
          </w:p>
        </w:tc>
        <w:tc>
          <w:tcPr>
            <w:tcW w:w="6488" w:type="dxa"/>
            <w:gridSpan w:val="2"/>
            <w:shd w:val="clear" w:color="auto" w:fill="auto"/>
            <w:vAlign w:val="center"/>
          </w:tcPr>
          <w:p w:rsidR="004647E7" w:rsidRPr="00C02CB8" w:rsidRDefault="004647E7"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HRP conjugated antibody, Pierce</w:t>
            </w:r>
            <w:r w:rsidR="00BD4F5E" w:rsidRPr="00C02CB8">
              <w:rPr>
                <w:rFonts w:eastAsia="Times New Roman" w:cs="Calibri"/>
                <w:sz w:val="24"/>
                <w:szCs w:val="24"/>
                <w:lang w:eastAsia="de-DE"/>
              </w:rPr>
              <w:t xml:space="preserve"> (1:10.000)</w:t>
            </w:r>
          </w:p>
        </w:tc>
        <w:tc>
          <w:tcPr>
            <w:tcW w:w="5722" w:type="dxa"/>
          </w:tcPr>
          <w:p w:rsidR="004647E7" w:rsidRPr="00C02CB8" w:rsidRDefault="004647E7" w:rsidP="00AB3073">
            <w:pPr>
              <w:spacing w:after="0" w:line="360" w:lineRule="auto"/>
              <w:jc w:val="both"/>
              <w:rPr>
                <w:rFonts w:eastAsia="Times New Roman" w:cs="Calibri"/>
                <w:sz w:val="24"/>
                <w:szCs w:val="24"/>
                <w:lang w:eastAsia="de-DE"/>
              </w:rPr>
            </w:pPr>
          </w:p>
        </w:tc>
      </w:tr>
      <w:tr w:rsidR="00C02CB8" w:rsidRPr="00C02CB8" w:rsidTr="002032BD">
        <w:trPr>
          <w:cantSplit/>
          <w:trHeight w:val="352"/>
        </w:trPr>
        <w:tc>
          <w:tcPr>
            <w:tcW w:w="3119" w:type="dxa"/>
            <w:tcBorders>
              <w:bottom w:val="single" w:sz="4" w:space="0" w:color="auto"/>
            </w:tcBorders>
            <w:shd w:val="clear" w:color="auto" w:fill="auto"/>
            <w:vAlign w:val="center"/>
          </w:tcPr>
          <w:p w:rsidR="004647E7" w:rsidRPr="00C02CB8" w:rsidRDefault="004647E7"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Anti-goat-HRP (</w:t>
            </w:r>
            <w:r w:rsidRPr="00C02CB8">
              <w:rPr>
                <w:rFonts w:cs="Calibri"/>
                <w:sz w:val="24"/>
                <w:szCs w:val="24"/>
              </w:rPr>
              <w:t>sc-2020)</w:t>
            </w:r>
          </w:p>
        </w:tc>
        <w:tc>
          <w:tcPr>
            <w:tcW w:w="6488" w:type="dxa"/>
            <w:gridSpan w:val="2"/>
            <w:tcBorders>
              <w:bottom w:val="single" w:sz="4" w:space="0" w:color="auto"/>
            </w:tcBorders>
            <w:shd w:val="clear" w:color="auto" w:fill="auto"/>
            <w:vAlign w:val="center"/>
          </w:tcPr>
          <w:p w:rsidR="004647E7" w:rsidRPr="00C02CB8" w:rsidRDefault="004647E7"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HRP conjugated antibody, Santa Cruz</w:t>
            </w:r>
            <w:r w:rsidR="00BD4F5E" w:rsidRPr="00C02CB8">
              <w:rPr>
                <w:rFonts w:eastAsia="Times New Roman" w:cs="Calibri"/>
                <w:sz w:val="24"/>
                <w:szCs w:val="24"/>
                <w:lang w:eastAsia="de-DE"/>
              </w:rPr>
              <w:t xml:space="preserve"> (1:10.000)</w:t>
            </w:r>
          </w:p>
        </w:tc>
        <w:tc>
          <w:tcPr>
            <w:tcW w:w="5722" w:type="dxa"/>
            <w:tcBorders>
              <w:bottom w:val="single" w:sz="4" w:space="0" w:color="auto"/>
            </w:tcBorders>
          </w:tcPr>
          <w:p w:rsidR="004647E7" w:rsidRPr="00C02CB8" w:rsidRDefault="004647E7" w:rsidP="00AB3073">
            <w:pPr>
              <w:spacing w:after="0" w:line="360" w:lineRule="auto"/>
              <w:jc w:val="both"/>
              <w:rPr>
                <w:rFonts w:eastAsia="Times New Roman" w:cs="Calibri"/>
                <w:sz w:val="24"/>
                <w:szCs w:val="24"/>
                <w:lang w:eastAsia="de-DE"/>
              </w:rPr>
            </w:pPr>
          </w:p>
        </w:tc>
      </w:tr>
    </w:tbl>
    <w:p w:rsidR="00145AD7" w:rsidRPr="00C02CB8" w:rsidRDefault="00145AD7">
      <w:pPr>
        <w:spacing w:after="0" w:line="240" w:lineRule="auto"/>
        <w:rPr>
          <w:b/>
          <w:sz w:val="28"/>
          <w:szCs w:val="24"/>
        </w:rPr>
      </w:pPr>
      <w:r w:rsidRPr="00C02CB8">
        <w:rPr>
          <w:b/>
          <w:sz w:val="28"/>
          <w:szCs w:val="24"/>
        </w:rPr>
        <w:br w:type="page"/>
      </w:r>
    </w:p>
    <w:p w:rsidR="00131D68" w:rsidRPr="00C02CB8" w:rsidRDefault="00131D68" w:rsidP="00AB3073">
      <w:pPr>
        <w:spacing w:after="0" w:line="360" w:lineRule="auto"/>
        <w:jc w:val="both"/>
        <w:rPr>
          <w:b/>
          <w:sz w:val="28"/>
          <w:szCs w:val="24"/>
        </w:rPr>
      </w:pPr>
    </w:p>
    <w:p w:rsidR="00C771DD" w:rsidRPr="00C02CB8" w:rsidRDefault="00551646" w:rsidP="00AB3073">
      <w:pPr>
        <w:spacing w:after="0" w:line="360" w:lineRule="auto"/>
        <w:jc w:val="both"/>
        <w:rPr>
          <w:b/>
          <w:sz w:val="28"/>
          <w:szCs w:val="24"/>
        </w:rPr>
      </w:pPr>
      <w:r w:rsidRPr="00C02CB8">
        <w:rPr>
          <w:b/>
          <w:sz w:val="28"/>
          <w:szCs w:val="24"/>
        </w:rPr>
        <w:t>Supplementary Table </w:t>
      </w:r>
      <w:r w:rsidR="00C771DD" w:rsidRPr="00C02CB8">
        <w:rPr>
          <w:b/>
          <w:sz w:val="28"/>
          <w:szCs w:val="24"/>
        </w:rPr>
        <w:t>2</w:t>
      </w:r>
      <w:r w:rsidR="001955AE" w:rsidRPr="00C02CB8">
        <w:rPr>
          <w:b/>
          <w:sz w:val="28"/>
          <w:szCs w:val="24"/>
        </w:rPr>
        <w:t>: Antibodies used for IF</w:t>
      </w:r>
    </w:p>
    <w:tbl>
      <w:tblPr>
        <w:tblW w:w="9628" w:type="dxa"/>
        <w:tblLayout w:type="fixed"/>
        <w:tblLook w:val="01E0" w:firstRow="1" w:lastRow="1" w:firstColumn="1" w:lastColumn="1" w:noHBand="0" w:noVBand="0"/>
      </w:tblPr>
      <w:tblGrid>
        <w:gridCol w:w="4977"/>
        <w:gridCol w:w="4651"/>
      </w:tblGrid>
      <w:tr w:rsidR="00C02CB8" w:rsidRPr="00C02CB8" w:rsidTr="000223D2">
        <w:trPr>
          <w:cantSplit/>
          <w:trHeight w:val="382"/>
        </w:trPr>
        <w:tc>
          <w:tcPr>
            <w:tcW w:w="4977" w:type="dxa"/>
            <w:tcBorders>
              <w:top w:val="single" w:sz="4" w:space="0" w:color="auto"/>
              <w:left w:val="nil"/>
              <w:bottom w:val="single" w:sz="4" w:space="0" w:color="auto"/>
              <w:right w:val="nil"/>
            </w:tcBorders>
            <w:vAlign w:val="center"/>
            <w:hideMark/>
          </w:tcPr>
          <w:p w:rsidR="000223D2" w:rsidRPr="00C02CB8" w:rsidRDefault="000223D2" w:rsidP="00AB3073">
            <w:pPr>
              <w:spacing w:after="0" w:line="360" w:lineRule="auto"/>
              <w:jc w:val="both"/>
              <w:rPr>
                <w:rFonts w:eastAsia="Times New Roman" w:cs="Calibri"/>
                <w:b/>
                <w:sz w:val="24"/>
                <w:szCs w:val="24"/>
                <w:lang w:eastAsia="de-DE"/>
              </w:rPr>
            </w:pPr>
            <w:r w:rsidRPr="00C02CB8">
              <w:rPr>
                <w:rFonts w:eastAsia="Times New Roman" w:cs="Calibri"/>
                <w:b/>
                <w:sz w:val="24"/>
                <w:szCs w:val="24"/>
                <w:lang w:eastAsia="de-DE"/>
              </w:rPr>
              <w:t>Target</w:t>
            </w:r>
          </w:p>
        </w:tc>
        <w:tc>
          <w:tcPr>
            <w:tcW w:w="4651" w:type="dxa"/>
            <w:tcBorders>
              <w:top w:val="single" w:sz="4" w:space="0" w:color="auto"/>
              <w:left w:val="nil"/>
              <w:bottom w:val="single" w:sz="4" w:space="0" w:color="auto"/>
              <w:right w:val="nil"/>
            </w:tcBorders>
            <w:vAlign w:val="center"/>
            <w:hideMark/>
          </w:tcPr>
          <w:p w:rsidR="000223D2" w:rsidRPr="00C02CB8" w:rsidRDefault="000223D2" w:rsidP="00363489">
            <w:pPr>
              <w:spacing w:after="0" w:line="360" w:lineRule="auto"/>
              <w:jc w:val="both"/>
              <w:rPr>
                <w:rFonts w:eastAsia="Times New Roman" w:cs="Calibri"/>
                <w:b/>
                <w:sz w:val="24"/>
                <w:szCs w:val="24"/>
                <w:lang w:eastAsia="de-DE"/>
              </w:rPr>
            </w:pPr>
            <w:r w:rsidRPr="00C02CB8">
              <w:rPr>
                <w:rFonts w:eastAsia="Times New Roman" w:cs="Calibri"/>
                <w:b/>
                <w:sz w:val="24"/>
                <w:szCs w:val="24"/>
                <w:lang w:eastAsia="de-DE"/>
              </w:rPr>
              <w:t>Company</w:t>
            </w:r>
            <w:r w:rsidR="00363489" w:rsidRPr="00C02CB8">
              <w:rPr>
                <w:rFonts w:eastAsia="Times New Roman" w:cs="Calibri"/>
                <w:b/>
                <w:sz w:val="24"/>
                <w:szCs w:val="24"/>
                <w:lang w:eastAsia="de-DE"/>
              </w:rPr>
              <w:t xml:space="preserve"> and Concentrations</w:t>
            </w:r>
          </w:p>
        </w:tc>
      </w:tr>
      <w:tr w:rsidR="00C02CB8" w:rsidRPr="00C02CB8" w:rsidTr="000223D2">
        <w:trPr>
          <w:cantSplit/>
          <w:trHeight w:val="382"/>
        </w:trPr>
        <w:tc>
          <w:tcPr>
            <w:tcW w:w="4977" w:type="dxa"/>
            <w:vAlign w:val="center"/>
            <w:hideMark/>
          </w:tcPr>
          <w:p w:rsidR="000223D2" w:rsidRPr="00C02CB8" w:rsidRDefault="000223D2" w:rsidP="00AB3073">
            <w:pPr>
              <w:spacing w:after="0" w:line="360" w:lineRule="auto"/>
              <w:jc w:val="both"/>
              <w:rPr>
                <w:rFonts w:eastAsia="Times New Roman" w:cs="Calibri"/>
                <w:b/>
                <w:bCs/>
                <w:sz w:val="24"/>
                <w:szCs w:val="24"/>
                <w:u w:val="single"/>
                <w:lang w:eastAsia="de-DE"/>
              </w:rPr>
            </w:pPr>
            <w:r w:rsidRPr="00C02CB8">
              <w:rPr>
                <w:rFonts w:eastAsia="Times New Roman" w:cs="Calibri"/>
                <w:b/>
                <w:bCs/>
                <w:sz w:val="24"/>
                <w:szCs w:val="24"/>
                <w:u w:val="single"/>
                <w:lang w:eastAsia="de-DE"/>
              </w:rPr>
              <w:t>Primary Antibodies</w:t>
            </w:r>
          </w:p>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Anti-MACC1 (D-15)</w:t>
            </w:r>
          </w:p>
          <w:p w:rsidR="000223D2" w:rsidRPr="00C02CB8" w:rsidRDefault="000223D2" w:rsidP="00AB3073">
            <w:pPr>
              <w:spacing w:after="0" w:line="360" w:lineRule="auto"/>
              <w:jc w:val="both"/>
              <w:rPr>
                <w:rFonts w:eastAsia="Times New Roman" w:cs="Calibri"/>
                <w:sz w:val="24"/>
                <w:szCs w:val="24"/>
                <w:lang w:val="it-IT" w:eastAsia="de-DE"/>
              </w:rPr>
            </w:pPr>
            <w:r w:rsidRPr="00C02CB8">
              <w:rPr>
                <w:rFonts w:eastAsia="Times New Roman" w:cs="Calibri"/>
                <w:sz w:val="24"/>
                <w:szCs w:val="24"/>
                <w:lang w:val="it-IT" w:eastAsia="de-DE"/>
              </w:rPr>
              <w:t>Anti-MACC1</w:t>
            </w:r>
          </w:p>
        </w:tc>
        <w:tc>
          <w:tcPr>
            <w:tcW w:w="4651" w:type="dxa"/>
            <w:vAlign w:val="center"/>
            <w:hideMark/>
          </w:tcPr>
          <w:p w:rsidR="000223D2" w:rsidRPr="00C02CB8" w:rsidRDefault="000223D2" w:rsidP="00AB3073">
            <w:pPr>
              <w:spacing w:after="0" w:line="360" w:lineRule="auto"/>
              <w:jc w:val="both"/>
              <w:rPr>
                <w:rFonts w:eastAsia="Times New Roman" w:cs="Calibri"/>
                <w:sz w:val="24"/>
                <w:szCs w:val="24"/>
                <w:lang w:eastAsia="de-DE"/>
              </w:rPr>
            </w:pPr>
          </w:p>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Goat polyclonal, Santa Cruz</w:t>
            </w:r>
            <w:r w:rsidR="00BD4F5E" w:rsidRPr="00C02CB8">
              <w:rPr>
                <w:rFonts w:eastAsia="Times New Roman" w:cs="Calibri"/>
                <w:sz w:val="24"/>
                <w:szCs w:val="24"/>
                <w:lang w:eastAsia="de-DE"/>
              </w:rPr>
              <w:t xml:space="preserve"> (1:50)</w:t>
            </w:r>
          </w:p>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Rabbit polyclonal, Sigma-Aldrich</w:t>
            </w:r>
            <w:r w:rsidR="00BD4F5E" w:rsidRPr="00C02CB8">
              <w:rPr>
                <w:rFonts w:eastAsia="Times New Roman" w:cs="Calibri"/>
                <w:sz w:val="24"/>
                <w:szCs w:val="24"/>
                <w:lang w:eastAsia="de-DE"/>
              </w:rPr>
              <w:t xml:space="preserve"> (1:100)</w:t>
            </w:r>
          </w:p>
        </w:tc>
      </w:tr>
      <w:tr w:rsidR="00C02CB8" w:rsidRPr="00C02CB8" w:rsidTr="000223D2">
        <w:trPr>
          <w:cantSplit/>
          <w:trHeight w:val="382"/>
        </w:trPr>
        <w:tc>
          <w:tcPr>
            <w:tcW w:w="4977" w:type="dxa"/>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Anti-Transferrin receptor (13-6800)</w:t>
            </w:r>
          </w:p>
        </w:tc>
        <w:tc>
          <w:tcPr>
            <w:tcW w:w="4651" w:type="dxa"/>
            <w:vAlign w:val="center"/>
            <w:hideMark/>
          </w:tcPr>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Mouse monoclonal, Thermo Scientific</w:t>
            </w:r>
            <w:r w:rsidR="00BD4F5E" w:rsidRPr="00C02CB8">
              <w:rPr>
                <w:rFonts w:eastAsia="Times New Roman" w:cs="Calibri"/>
                <w:sz w:val="24"/>
                <w:szCs w:val="24"/>
                <w:lang w:eastAsia="de-DE"/>
              </w:rPr>
              <w:t xml:space="preserve"> (1:50)</w:t>
            </w:r>
          </w:p>
        </w:tc>
      </w:tr>
      <w:tr w:rsidR="00C02CB8" w:rsidRPr="00C02CB8" w:rsidTr="000223D2">
        <w:trPr>
          <w:cantSplit/>
          <w:trHeight w:val="382"/>
        </w:trPr>
        <w:tc>
          <w:tcPr>
            <w:tcW w:w="4977" w:type="dxa"/>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Anti-Clathrin (X22)</w:t>
            </w:r>
          </w:p>
        </w:tc>
        <w:tc>
          <w:tcPr>
            <w:tcW w:w="4651" w:type="dxa"/>
            <w:vAlign w:val="center"/>
            <w:hideMark/>
          </w:tcPr>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Mouse monoclonal, Abcam</w:t>
            </w:r>
            <w:r w:rsidR="00BD4F5E" w:rsidRPr="00C02CB8">
              <w:rPr>
                <w:rFonts w:eastAsia="Times New Roman" w:cs="Calibri"/>
                <w:sz w:val="24"/>
                <w:szCs w:val="24"/>
                <w:lang w:eastAsia="de-DE"/>
              </w:rPr>
              <w:t xml:space="preserve"> (1:400)</w:t>
            </w:r>
          </w:p>
        </w:tc>
      </w:tr>
      <w:tr w:rsidR="00C02CB8" w:rsidRPr="00C02CB8" w:rsidTr="000223D2">
        <w:trPr>
          <w:cantSplit/>
          <w:trHeight w:val="382"/>
        </w:trPr>
        <w:tc>
          <w:tcPr>
            <w:tcW w:w="4977" w:type="dxa"/>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Anti-Clathrin (CLTC)</w:t>
            </w:r>
          </w:p>
        </w:tc>
        <w:tc>
          <w:tcPr>
            <w:tcW w:w="4651" w:type="dxa"/>
            <w:vAlign w:val="center"/>
            <w:hideMark/>
          </w:tcPr>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Goat polyclonal, Sicgen antibodies</w:t>
            </w:r>
            <w:r w:rsidR="00BD4F5E" w:rsidRPr="00C02CB8">
              <w:rPr>
                <w:rFonts w:eastAsia="Times New Roman" w:cs="Calibri"/>
                <w:sz w:val="24"/>
                <w:szCs w:val="24"/>
                <w:lang w:eastAsia="de-DE"/>
              </w:rPr>
              <w:t xml:space="preserve"> (1:100)</w:t>
            </w:r>
          </w:p>
        </w:tc>
      </w:tr>
      <w:tr w:rsidR="00C02CB8" w:rsidRPr="00C02CB8" w:rsidTr="000223D2">
        <w:trPr>
          <w:cantSplit/>
          <w:trHeight w:val="382"/>
        </w:trPr>
        <w:tc>
          <w:tcPr>
            <w:tcW w:w="4977" w:type="dxa"/>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Anti-Clathrin (D3C6)</w:t>
            </w:r>
          </w:p>
        </w:tc>
        <w:tc>
          <w:tcPr>
            <w:tcW w:w="4651" w:type="dxa"/>
            <w:vAlign w:val="center"/>
            <w:hideMark/>
          </w:tcPr>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Rabbit polyclonal, Cell Signaling</w:t>
            </w:r>
            <w:r w:rsidR="00BD4F5E" w:rsidRPr="00C02CB8">
              <w:rPr>
                <w:rFonts w:eastAsia="Times New Roman" w:cs="Calibri"/>
                <w:sz w:val="24"/>
                <w:szCs w:val="24"/>
                <w:lang w:eastAsia="de-DE"/>
              </w:rPr>
              <w:t xml:space="preserve"> (1:100)</w:t>
            </w:r>
          </w:p>
        </w:tc>
      </w:tr>
      <w:tr w:rsidR="00C02CB8" w:rsidRPr="00C02CB8" w:rsidTr="000223D2">
        <w:trPr>
          <w:cantSplit/>
          <w:trHeight w:val="382"/>
        </w:trPr>
        <w:tc>
          <w:tcPr>
            <w:tcW w:w="4977" w:type="dxa"/>
            <w:vAlign w:val="center"/>
            <w:hideMark/>
          </w:tcPr>
          <w:p w:rsidR="000223D2" w:rsidRPr="00C02CB8" w:rsidRDefault="00551646" w:rsidP="00AB3073">
            <w:pPr>
              <w:spacing w:after="0" w:line="360" w:lineRule="auto"/>
              <w:jc w:val="both"/>
              <w:rPr>
                <w:rFonts w:eastAsia="Times New Roman" w:cs="Calibri"/>
                <w:sz w:val="24"/>
                <w:szCs w:val="24"/>
                <w:lang w:eastAsia="de-DE"/>
              </w:rPr>
            </w:pPr>
            <w:r w:rsidRPr="00C02CB8">
              <w:rPr>
                <w:rFonts w:eastAsia="Times New Roman" w:cs="Calibri"/>
                <w:sz w:val="24"/>
                <w:szCs w:val="24"/>
                <w:lang w:val="it-IT" w:eastAsia="de-DE"/>
              </w:rPr>
              <w:t>Anti-</w:t>
            </w:r>
            <w:r w:rsidR="000223D2" w:rsidRPr="00C02CB8">
              <w:rPr>
                <w:rFonts w:eastAsia="Times New Roman" w:cs="Calibri"/>
                <w:sz w:val="24"/>
                <w:szCs w:val="24"/>
                <w:lang w:val="it-IT" w:eastAsia="de-DE"/>
              </w:rPr>
              <w:t xml:space="preserve">α-Adaptin </w:t>
            </w:r>
            <w:r w:rsidR="000223D2" w:rsidRPr="00C02CB8">
              <w:rPr>
                <w:rFonts w:eastAsia="Times New Roman" w:cs="Calibri"/>
                <w:sz w:val="24"/>
                <w:szCs w:val="24"/>
                <w:lang w:eastAsia="de-DE"/>
              </w:rPr>
              <w:t>(AP6)</w:t>
            </w:r>
          </w:p>
        </w:tc>
        <w:tc>
          <w:tcPr>
            <w:tcW w:w="4651" w:type="dxa"/>
            <w:vAlign w:val="center"/>
            <w:hideMark/>
          </w:tcPr>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Mouse monoclonal, Abcam</w:t>
            </w:r>
            <w:r w:rsidR="00BD4F5E" w:rsidRPr="00C02CB8">
              <w:rPr>
                <w:rFonts w:eastAsia="Times New Roman" w:cs="Calibri"/>
                <w:sz w:val="24"/>
                <w:szCs w:val="24"/>
                <w:lang w:eastAsia="de-DE"/>
              </w:rPr>
              <w:t xml:space="preserve"> (1:100)</w:t>
            </w:r>
          </w:p>
        </w:tc>
      </w:tr>
      <w:tr w:rsidR="00C02CB8" w:rsidRPr="00C02CB8" w:rsidTr="000223D2">
        <w:trPr>
          <w:cantSplit/>
          <w:trHeight w:val="382"/>
        </w:trPr>
        <w:tc>
          <w:tcPr>
            <w:tcW w:w="4977" w:type="dxa"/>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Anti-DNM2 (#3457)</w:t>
            </w:r>
          </w:p>
        </w:tc>
        <w:tc>
          <w:tcPr>
            <w:tcW w:w="4651" w:type="dxa"/>
            <w:vAlign w:val="center"/>
            <w:hideMark/>
          </w:tcPr>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Rabbit polyclonal, Abcam</w:t>
            </w:r>
            <w:r w:rsidR="00BD4F5E" w:rsidRPr="00C02CB8">
              <w:rPr>
                <w:rFonts w:eastAsia="Times New Roman" w:cs="Calibri"/>
                <w:sz w:val="24"/>
                <w:szCs w:val="24"/>
                <w:lang w:eastAsia="de-DE"/>
              </w:rPr>
              <w:t xml:space="preserve"> (1:100)</w:t>
            </w:r>
          </w:p>
        </w:tc>
      </w:tr>
      <w:tr w:rsidR="00C02CB8" w:rsidRPr="00C02CB8" w:rsidTr="000223D2">
        <w:trPr>
          <w:cantSplit/>
          <w:trHeight w:val="382"/>
        </w:trPr>
        <w:tc>
          <w:tcPr>
            <w:tcW w:w="4977" w:type="dxa"/>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Anti-EGFR (1005)</w:t>
            </w:r>
          </w:p>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Anti-EGFR (A-10)</w:t>
            </w:r>
          </w:p>
        </w:tc>
        <w:tc>
          <w:tcPr>
            <w:tcW w:w="4651" w:type="dxa"/>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Rabbit polyclonal, Santa Cruz</w:t>
            </w:r>
            <w:r w:rsidR="00BD4F5E" w:rsidRPr="00C02CB8">
              <w:rPr>
                <w:rFonts w:eastAsia="Times New Roman" w:cs="Calibri"/>
                <w:sz w:val="24"/>
                <w:szCs w:val="24"/>
                <w:lang w:eastAsia="de-DE"/>
              </w:rPr>
              <w:t xml:space="preserve"> (1:50)</w:t>
            </w:r>
          </w:p>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Mouse monoclonal, Santa Cruz</w:t>
            </w:r>
            <w:r w:rsidR="00BD4F5E" w:rsidRPr="00C02CB8">
              <w:rPr>
                <w:rFonts w:eastAsia="Times New Roman" w:cs="Calibri"/>
                <w:sz w:val="24"/>
                <w:szCs w:val="24"/>
                <w:lang w:eastAsia="de-DE"/>
              </w:rPr>
              <w:t xml:space="preserve"> (1:50)</w:t>
            </w:r>
          </w:p>
        </w:tc>
      </w:tr>
      <w:tr w:rsidR="00C02CB8" w:rsidRPr="00C02CB8" w:rsidTr="000223D2">
        <w:trPr>
          <w:cantSplit/>
          <w:trHeight w:val="382"/>
        </w:trPr>
        <w:tc>
          <w:tcPr>
            <w:tcW w:w="4977" w:type="dxa"/>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Endosomal markers kit (EEA1, RAB11, CLTC)</w:t>
            </w:r>
          </w:p>
          <w:p w:rsidR="000223D2" w:rsidRPr="00C02CB8" w:rsidRDefault="000223D2" w:rsidP="00AB3073">
            <w:pPr>
              <w:spacing w:after="0" w:line="360" w:lineRule="auto"/>
              <w:jc w:val="both"/>
              <w:rPr>
                <w:rFonts w:cs="Calibri"/>
                <w:sz w:val="24"/>
                <w:szCs w:val="24"/>
              </w:rPr>
            </w:pPr>
            <w:r w:rsidRPr="00C02CB8">
              <w:rPr>
                <w:rFonts w:eastAsia="Times New Roman" w:cs="Calibri"/>
                <w:sz w:val="24"/>
                <w:szCs w:val="24"/>
                <w:lang w:eastAsia="de-DE"/>
              </w:rPr>
              <w:t xml:space="preserve">Anti-Lamp1 </w:t>
            </w:r>
            <w:r w:rsidRPr="00C02CB8">
              <w:rPr>
                <w:rFonts w:cs="Calibri"/>
                <w:sz w:val="24"/>
                <w:szCs w:val="24"/>
              </w:rPr>
              <w:t>(D2D11) XP®</w:t>
            </w:r>
          </w:p>
          <w:p w:rsidR="000223D2" w:rsidRPr="00C02CB8" w:rsidRDefault="000223D2" w:rsidP="00AB3073">
            <w:pPr>
              <w:spacing w:line="360" w:lineRule="auto"/>
              <w:jc w:val="both"/>
              <w:rPr>
                <w:rFonts w:eastAsia="Times New Roman" w:cs="Calibri"/>
                <w:sz w:val="24"/>
                <w:szCs w:val="24"/>
                <w:lang w:eastAsia="de-DE"/>
              </w:rPr>
            </w:pPr>
          </w:p>
        </w:tc>
        <w:tc>
          <w:tcPr>
            <w:tcW w:w="4651" w:type="dxa"/>
            <w:vAlign w:val="center"/>
            <w:hideMark/>
          </w:tcPr>
          <w:p w:rsidR="00551646" w:rsidRPr="00C02CB8" w:rsidRDefault="00551646"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Cell Signaling</w:t>
            </w:r>
            <w:r w:rsidR="00BD4F5E" w:rsidRPr="00C02CB8">
              <w:rPr>
                <w:rFonts w:eastAsia="Times New Roman" w:cs="Calibri"/>
                <w:sz w:val="24"/>
                <w:szCs w:val="24"/>
                <w:lang w:eastAsia="de-DE"/>
              </w:rPr>
              <w:t xml:space="preserve"> (1:100)</w:t>
            </w:r>
          </w:p>
          <w:p w:rsidR="000223D2" w:rsidRPr="00C02CB8" w:rsidRDefault="00551646"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NEB</w:t>
            </w:r>
            <w:r w:rsidR="00BD4F5E" w:rsidRPr="00C02CB8">
              <w:rPr>
                <w:rFonts w:eastAsia="Times New Roman" w:cs="Calibri"/>
                <w:sz w:val="24"/>
                <w:szCs w:val="24"/>
                <w:lang w:eastAsia="de-DE"/>
              </w:rPr>
              <w:t xml:space="preserve"> (1:100)</w:t>
            </w:r>
          </w:p>
          <w:p w:rsidR="000223D2" w:rsidRPr="00C02CB8" w:rsidRDefault="000223D2" w:rsidP="00AB3073">
            <w:pPr>
              <w:spacing w:after="0" w:line="360" w:lineRule="auto"/>
              <w:jc w:val="both"/>
              <w:rPr>
                <w:rFonts w:eastAsia="Times New Roman" w:cs="Calibri"/>
                <w:sz w:val="24"/>
                <w:szCs w:val="24"/>
                <w:lang w:eastAsia="de-DE"/>
              </w:rPr>
            </w:pPr>
          </w:p>
        </w:tc>
      </w:tr>
      <w:tr w:rsidR="00C02CB8" w:rsidRPr="00C02CB8" w:rsidTr="000223D2">
        <w:trPr>
          <w:cantSplit/>
          <w:trHeight w:val="382"/>
        </w:trPr>
        <w:tc>
          <w:tcPr>
            <w:tcW w:w="4977" w:type="dxa"/>
            <w:vAlign w:val="center"/>
            <w:hideMark/>
          </w:tcPr>
          <w:p w:rsidR="000223D2" w:rsidRPr="00C02CB8" w:rsidRDefault="003E2E28" w:rsidP="00AB3073">
            <w:pPr>
              <w:spacing w:after="0" w:line="360" w:lineRule="auto"/>
              <w:jc w:val="both"/>
              <w:rPr>
                <w:rFonts w:eastAsia="Times New Roman" w:cs="Calibri"/>
                <w:b/>
                <w:bCs/>
                <w:sz w:val="24"/>
                <w:szCs w:val="24"/>
                <w:u w:val="single"/>
                <w:lang w:eastAsia="de-DE"/>
              </w:rPr>
            </w:pPr>
            <w:r w:rsidRPr="00C02CB8">
              <w:rPr>
                <w:rFonts w:eastAsia="Times New Roman" w:cs="Calibri"/>
                <w:b/>
                <w:bCs/>
                <w:sz w:val="24"/>
                <w:szCs w:val="24"/>
                <w:u w:val="single"/>
                <w:lang w:eastAsia="de-DE"/>
              </w:rPr>
              <w:t>Secondary A</w:t>
            </w:r>
            <w:r w:rsidR="000223D2" w:rsidRPr="00C02CB8">
              <w:rPr>
                <w:rFonts w:eastAsia="Times New Roman" w:cs="Calibri"/>
                <w:b/>
                <w:bCs/>
                <w:sz w:val="24"/>
                <w:szCs w:val="24"/>
                <w:u w:val="single"/>
                <w:lang w:eastAsia="de-DE"/>
              </w:rPr>
              <w:t>ntibodies</w:t>
            </w:r>
          </w:p>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Anti-goat Alexa Fluor</w:t>
            </w:r>
            <w:r w:rsidRPr="00C02CB8">
              <w:rPr>
                <w:rFonts w:cs="Calibri"/>
                <w:sz w:val="24"/>
                <w:szCs w:val="24"/>
                <w:shd w:val="clear" w:color="auto" w:fill="FFFFFF"/>
              </w:rPr>
              <w:t>®</w:t>
            </w:r>
            <w:r w:rsidRPr="00C02CB8">
              <w:rPr>
                <w:rFonts w:eastAsia="Times New Roman" w:cs="Calibri"/>
                <w:sz w:val="24"/>
                <w:szCs w:val="24"/>
                <w:lang w:eastAsia="de-DE"/>
              </w:rPr>
              <w:t xml:space="preserve"> 488 conjugated</w:t>
            </w:r>
          </w:p>
        </w:tc>
        <w:tc>
          <w:tcPr>
            <w:tcW w:w="4651" w:type="dxa"/>
            <w:vAlign w:val="center"/>
            <w:hideMark/>
          </w:tcPr>
          <w:p w:rsidR="000223D2" w:rsidRPr="00C02CB8" w:rsidRDefault="000223D2" w:rsidP="00AB3073">
            <w:pPr>
              <w:spacing w:after="0" w:line="360" w:lineRule="auto"/>
              <w:jc w:val="both"/>
              <w:rPr>
                <w:rFonts w:eastAsia="Times New Roman" w:cs="Calibri"/>
                <w:sz w:val="24"/>
                <w:szCs w:val="24"/>
                <w:lang w:eastAsia="de-DE"/>
              </w:rPr>
            </w:pPr>
          </w:p>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Thermo Scientific</w:t>
            </w:r>
            <w:r w:rsidR="00BD4F5E" w:rsidRPr="00C02CB8">
              <w:rPr>
                <w:rFonts w:eastAsia="Times New Roman" w:cs="Calibri"/>
                <w:sz w:val="24"/>
                <w:szCs w:val="24"/>
                <w:lang w:eastAsia="de-DE"/>
              </w:rPr>
              <w:t xml:space="preserve"> (1:200)</w:t>
            </w:r>
          </w:p>
        </w:tc>
      </w:tr>
      <w:tr w:rsidR="00C02CB8" w:rsidRPr="00C02CB8" w:rsidTr="000223D2">
        <w:trPr>
          <w:cantSplit/>
          <w:trHeight w:val="553"/>
        </w:trPr>
        <w:tc>
          <w:tcPr>
            <w:tcW w:w="4977" w:type="dxa"/>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Anti-mouse Alexa Fluor</w:t>
            </w:r>
            <w:r w:rsidRPr="00C02CB8">
              <w:rPr>
                <w:rFonts w:cs="Calibri"/>
                <w:sz w:val="24"/>
                <w:szCs w:val="24"/>
                <w:shd w:val="clear" w:color="auto" w:fill="FFFFFF"/>
              </w:rPr>
              <w:t>®</w:t>
            </w:r>
            <w:r w:rsidRPr="00C02CB8">
              <w:rPr>
                <w:rFonts w:eastAsia="Times New Roman" w:cs="Calibri"/>
                <w:sz w:val="24"/>
                <w:szCs w:val="24"/>
                <w:lang w:eastAsia="de-DE"/>
              </w:rPr>
              <w:t xml:space="preserve"> 555 conjugated</w:t>
            </w:r>
          </w:p>
        </w:tc>
        <w:tc>
          <w:tcPr>
            <w:tcW w:w="4651" w:type="dxa"/>
            <w:vAlign w:val="center"/>
            <w:hideMark/>
          </w:tcPr>
          <w:p w:rsidR="000223D2"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Thermo Scientific</w:t>
            </w:r>
            <w:r w:rsidR="00BD4F5E" w:rsidRPr="00C02CB8">
              <w:rPr>
                <w:rFonts w:eastAsia="Times New Roman" w:cs="Calibri"/>
                <w:sz w:val="24"/>
                <w:szCs w:val="24"/>
                <w:lang w:eastAsia="de-DE"/>
              </w:rPr>
              <w:t xml:space="preserve"> (1:200)</w:t>
            </w:r>
          </w:p>
        </w:tc>
      </w:tr>
      <w:tr w:rsidR="00C02CB8" w:rsidRPr="00C02CB8" w:rsidTr="002032BD">
        <w:trPr>
          <w:cantSplit/>
          <w:trHeight w:val="553"/>
        </w:trPr>
        <w:tc>
          <w:tcPr>
            <w:tcW w:w="4977" w:type="dxa"/>
            <w:tcBorders>
              <w:top w:val="nil"/>
              <w:left w:val="nil"/>
              <w:bottom w:val="nil"/>
              <w:right w:val="nil"/>
            </w:tcBorders>
            <w:vAlign w:val="center"/>
            <w:hideMark/>
          </w:tcPr>
          <w:p w:rsidR="000223D2" w:rsidRPr="00C02CB8" w:rsidRDefault="000223D2"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Anti-rabbit Alexa Fluor</w:t>
            </w:r>
            <w:r w:rsidRPr="00C02CB8">
              <w:rPr>
                <w:rFonts w:cs="Calibri"/>
                <w:sz w:val="24"/>
                <w:szCs w:val="24"/>
                <w:shd w:val="clear" w:color="auto" w:fill="FFFFFF"/>
              </w:rPr>
              <w:t>®</w:t>
            </w:r>
            <w:r w:rsidRPr="00C02CB8">
              <w:rPr>
                <w:rFonts w:eastAsia="Times New Roman" w:cs="Calibri"/>
                <w:sz w:val="24"/>
                <w:szCs w:val="24"/>
                <w:lang w:eastAsia="de-DE"/>
              </w:rPr>
              <w:t xml:space="preserve"> 647 conjugated</w:t>
            </w:r>
          </w:p>
        </w:tc>
        <w:tc>
          <w:tcPr>
            <w:tcW w:w="4651" w:type="dxa"/>
            <w:tcBorders>
              <w:top w:val="nil"/>
              <w:left w:val="nil"/>
              <w:bottom w:val="nil"/>
              <w:right w:val="nil"/>
            </w:tcBorders>
            <w:vAlign w:val="center"/>
            <w:hideMark/>
          </w:tcPr>
          <w:p w:rsidR="002032BD" w:rsidRPr="00C02CB8" w:rsidRDefault="000223D2" w:rsidP="00BD4F5E">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Thermo Scientific</w:t>
            </w:r>
            <w:r w:rsidR="00BD4F5E" w:rsidRPr="00C02CB8">
              <w:rPr>
                <w:rFonts w:eastAsia="Times New Roman" w:cs="Calibri"/>
                <w:sz w:val="24"/>
                <w:szCs w:val="24"/>
                <w:lang w:eastAsia="de-DE"/>
              </w:rPr>
              <w:t xml:space="preserve"> (1:200)</w:t>
            </w:r>
          </w:p>
        </w:tc>
      </w:tr>
      <w:tr w:rsidR="00C02CB8" w:rsidRPr="00C02CB8" w:rsidTr="002032BD">
        <w:trPr>
          <w:cantSplit/>
          <w:trHeight w:val="553"/>
        </w:trPr>
        <w:tc>
          <w:tcPr>
            <w:tcW w:w="4977" w:type="dxa"/>
            <w:tcBorders>
              <w:top w:val="nil"/>
              <w:left w:val="nil"/>
              <w:bottom w:val="nil"/>
              <w:right w:val="nil"/>
            </w:tcBorders>
            <w:vAlign w:val="center"/>
          </w:tcPr>
          <w:p w:rsidR="002032BD" w:rsidRPr="00C02CB8" w:rsidRDefault="002032BD" w:rsidP="00AB3073">
            <w:pPr>
              <w:spacing w:after="0" w:line="360" w:lineRule="auto"/>
              <w:jc w:val="both"/>
              <w:rPr>
                <w:rFonts w:eastAsia="Times New Roman" w:cs="Calibri"/>
                <w:sz w:val="24"/>
                <w:szCs w:val="24"/>
                <w:lang w:eastAsia="de-DE"/>
              </w:rPr>
            </w:pPr>
          </w:p>
        </w:tc>
        <w:tc>
          <w:tcPr>
            <w:tcW w:w="4651" w:type="dxa"/>
            <w:tcBorders>
              <w:top w:val="nil"/>
              <w:left w:val="nil"/>
              <w:bottom w:val="nil"/>
              <w:right w:val="nil"/>
            </w:tcBorders>
            <w:vAlign w:val="center"/>
          </w:tcPr>
          <w:p w:rsidR="002032BD" w:rsidRPr="00C02CB8" w:rsidRDefault="002032BD" w:rsidP="00AB3073">
            <w:pPr>
              <w:spacing w:after="0" w:line="360" w:lineRule="auto"/>
              <w:jc w:val="both"/>
              <w:rPr>
                <w:rFonts w:eastAsia="Times New Roman" w:cs="Calibri"/>
                <w:sz w:val="24"/>
                <w:szCs w:val="24"/>
                <w:lang w:eastAsia="de-DE"/>
              </w:rPr>
            </w:pPr>
          </w:p>
        </w:tc>
      </w:tr>
      <w:tr w:rsidR="00C02CB8" w:rsidRPr="00C02CB8" w:rsidTr="000223D2">
        <w:trPr>
          <w:cantSplit/>
          <w:trHeight w:val="553"/>
        </w:trPr>
        <w:tc>
          <w:tcPr>
            <w:tcW w:w="4977" w:type="dxa"/>
            <w:tcBorders>
              <w:top w:val="nil"/>
              <w:left w:val="nil"/>
              <w:bottom w:val="single" w:sz="4" w:space="0" w:color="auto"/>
              <w:right w:val="nil"/>
            </w:tcBorders>
            <w:vAlign w:val="center"/>
          </w:tcPr>
          <w:tbl>
            <w:tblPr>
              <w:tblW w:w="9628" w:type="dxa"/>
              <w:tblLayout w:type="fixed"/>
              <w:tblLook w:val="01E0" w:firstRow="1" w:lastRow="1" w:firstColumn="1" w:lastColumn="1" w:noHBand="0" w:noVBand="0"/>
            </w:tblPr>
            <w:tblGrid>
              <w:gridCol w:w="9628"/>
            </w:tblGrid>
            <w:tr w:rsidR="00C02CB8" w:rsidRPr="00C02CB8" w:rsidTr="002032BD">
              <w:trPr>
                <w:cantSplit/>
                <w:trHeight w:val="553"/>
              </w:trPr>
              <w:tc>
                <w:tcPr>
                  <w:tcW w:w="9628" w:type="dxa"/>
                  <w:tcBorders>
                    <w:top w:val="nil"/>
                    <w:left w:val="nil"/>
                    <w:bottom w:val="nil"/>
                    <w:right w:val="nil"/>
                  </w:tcBorders>
                  <w:vAlign w:val="center"/>
                </w:tcPr>
                <w:p w:rsidR="002032BD" w:rsidRPr="00C02CB8" w:rsidRDefault="002032BD" w:rsidP="00CC6266">
                  <w:pPr>
                    <w:spacing w:after="0" w:line="360" w:lineRule="auto"/>
                    <w:jc w:val="both"/>
                    <w:rPr>
                      <w:rFonts w:eastAsia="Times New Roman" w:cs="Calibri"/>
                      <w:b/>
                      <w:bCs/>
                      <w:sz w:val="24"/>
                      <w:szCs w:val="24"/>
                      <w:u w:val="single"/>
                      <w:lang w:eastAsia="de-DE"/>
                    </w:rPr>
                  </w:pPr>
                  <w:r w:rsidRPr="00C02CB8">
                    <w:rPr>
                      <w:rFonts w:eastAsia="Times New Roman" w:cs="Calibri"/>
                      <w:b/>
                      <w:bCs/>
                      <w:sz w:val="24"/>
                      <w:szCs w:val="24"/>
                      <w:u w:val="single"/>
                      <w:lang w:eastAsia="de-DE"/>
                    </w:rPr>
                    <w:t>Receptor ligands</w:t>
                  </w:r>
                </w:p>
              </w:tc>
            </w:tr>
            <w:tr w:rsidR="00C02CB8" w:rsidRPr="00C02CB8" w:rsidTr="002032BD">
              <w:trPr>
                <w:cantSplit/>
                <w:trHeight w:val="553"/>
              </w:trPr>
              <w:tc>
                <w:tcPr>
                  <w:tcW w:w="9628" w:type="dxa"/>
                  <w:tcBorders>
                    <w:top w:val="nil"/>
                    <w:left w:val="nil"/>
                    <w:bottom w:val="single" w:sz="4" w:space="0" w:color="auto"/>
                    <w:right w:val="nil"/>
                  </w:tcBorders>
                  <w:vAlign w:val="center"/>
                </w:tcPr>
                <w:p w:rsidR="002032BD" w:rsidRPr="00C02CB8" w:rsidRDefault="002032BD" w:rsidP="00CC6266">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Alexa-</w:t>
                  </w:r>
                  <w:r w:rsidR="00B94F75" w:rsidRPr="00C02CB8">
                    <w:rPr>
                      <w:rFonts w:eastAsia="Times New Roman" w:cs="Calibri"/>
                      <w:sz w:val="24"/>
                      <w:szCs w:val="24"/>
                      <w:lang w:eastAsia="de-DE"/>
                    </w:rPr>
                    <w:t>Fluor® conjugated h-Tf</w:t>
                  </w:r>
                </w:p>
                <w:p w:rsidR="002032BD" w:rsidRPr="00C02CB8" w:rsidRDefault="00B94F75" w:rsidP="00CC6266">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Alexa-Fluor® conjugated h-</w:t>
                  </w:r>
                  <w:r w:rsidR="002032BD" w:rsidRPr="00C02CB8">
                    <w:rPr>
                      <w:rFonts w:eastAsia="Times New Roman" w:cs="Calibri"/>
                      <w:sz w:val="24"/>
                      <w:szCs w:val="24"/>
                      <w:lang w:eastAsia="de-DE"/>
                    </w:rPr>
                    <w:t>EGF</w:t>
                  </w:r>
                </w:p>
              </w:tc>
            </w:tr>
          </w:tbl>
          <w:p w:rsidR="002032BD" w:rsidRPr="00C02CB8" w:rsidRDefault="002032BD" w:rsidP="00AB3073">
            <w:pPr>
              <w:spacing w:after="0" w:line="360" w:lineRule="auto"/>
              <w:jc w:val="both"/>
              <w:rPr>
                <w:rFonts w:eastAsia="Times New Roman" w:cs="Calibri"/>
                <w:sz w:val="24"/>
                <w:szCs w:val="24"/>
                <w:lang w:eastAsia="de-DE"/>
              </w:rPr>
            </w:pPr>
          </w:p>
        </w:tc>
        <w:tc>
          <w:tcPr>
            <w:tcW w:w="4651" w:type="dxa"/>
            <w:tcBorders>
              <w:top w:val="nil"/>
              <w:left w:val="nil"/>
              <w:bottom w:val="single" w:sz="4" w:space="0" w:color="auto"/>
              <w:right w:val="nil"/>
            </w:tcBorders>
            <w:vAlign w:val="center"/>
          </w:tcPr>
          <w:p w:rsidR="00B94F75" w:rsidRPr="00C02CB8" w:rsidRDefault="00B94F75" w:rsidP="00B94F75">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Thermo Scientific (50 µg/ml)</w:t>
            </w:r>
          </w:p>
          <w:p w:rsidR="002032BD" w:rsidRPr="00C02CB8" w:rsidRDefault="002032BD" w:rsidP="00AB3073">
            <w:pPr>
              <w:spacing w:after="0" w:line="360" w:lineRule="auto"/>
              <w:jc w:val="both"/>
              <w:rPr>
                <w:rFonts w:eastAsia="Times New Roman" w:cs="Calibri"/>
                <w:sz w:val="24"/>
                <w:szCs w:val="24"/>
                <w:lang w:eastAsia="de-DE"/>
              </w:rPr>
            </w:pPr>
            <w:r w:rsidRPr="00C02CB8">
              <w:rPr>
                <w:rFonts w:eastAsia="Times New Roman" w:cs="Calibri"/>
                <w:sz w:val="24"/>
                <w:szCs w:val="24"/>
                <w:lang w:eastAsia="de-DE"/>
              </w:rPr>
              <w:t>Thermo Scientific</w:t>
            </w:r>
            <w:r w:rsidR="00B94F75" w:rsidRPr="00C02CB8">
              <w:rPr>
                <w:rFonts w:eastAsia="Times New Roman" w:cs="Calibri"/>
                <w:sz w:val="24"/>
                <w:szCs w:val="24"/>
                <w:lang w:eastAsia="de-DE"/>
              </w:rPr>
              <w:t xml:space="preserve"> (20 ng/ml)</w:t>
            </w:r>
          </w:p>
        </w:tc>
      </w:tr>
    </w:tbl>
    <w:p w:rsidR="00AB3073" w:rsidRPr="00C02CB8" w:rsidRDefault="00AB3073" w:rsidP="00AB3073">
      <w:pPr>
        <w:spacing w:after="200" w:line="360" w:lineRule="auto"/>
        <w:rPr>
          <w:rFonts w:cs="Calibri"/>
          <w:b/>
          <w:sz w:val="24"/>
          <w:szCs w:val="24"/>
        </w:rPr>
      </w:pPr>
      <w:r w:rsidRPr="00C02CB8">
        <w:rPr>
          <w:rFonts w:cs="Calibri"/>
          <w:b/>
          <w:sz w:val="24"/>
          <w:szCs w:val="24"/>
        </w:rPr>
        <w:br w:type="page"/>
      </w:r>
    </w:p>
    <w:p w:rsidR="001955AE" w:rsidRPr="00C02CB8" w:rsidRDefault="001955AE" w:rsidP="001955AE">
      <w:pPr>
        <w:spacing w:after="0" w:line="360" w:lineRule="auto"/>
        <w:jc w:val="both"/>
        <w:rPr>
          <w:b/>
          <w:sz w:val="28"/>
          <w:szCs w:val="24"/>
        </w:rPr>
      </w:pPr>
      <w:r w:rsidRPr="00C02CB8">
        <w:rPr>
          <w:b/>
          <w:sz w:val="28"/>
          <w:szCs w:val="24"/>
        </w:rPr>
        <w:t>Supplementary Table 3: CME-related MACC1 interactors identified by shot-gun mass spectrometry</w:t>
      </w:r>
    </w:p>
    <w:tbl>
      <w:tblPr>
        <w:tblW w:w="0" w:type="auto"/>
        <w:tblInd w:w="108" w:type="dxa"/>
        <w:tblLayout w:type="fixed"/>
        <w:tblCellMar>
          <w:left w:w="10" w:type="dxa"/>
          <w:right w:w="10" w:type="dxa"/>
        </w:tblCellMar>
        <w:tblLook w:val="04A0" w:firstRow="1" w:lastRow="0" w:firstColumn="1" w:lastColumn="0" w:noHBand="0" w:noVBand="1"/>
      </w:tblPr>
      <w:tblGrid>
        <w:gridCol w:w="1701"/>
        <w:gridCol w:w="1701"/>
        <w:gridCol w:w="2401"/>
        <w:gridCol w:w="3659"/>
      </w:tblGrid>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Protein Complex or Subgroup</w:t>
            </w:r>
          </w:p>
        </w:tc>
        <w:tc>
          <w:tcPr>
            <w:tcW w:w="170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Gene Name</w:t>
            </w:r>
          </w:p>
        </w:tc>
        <w:tc>
          <w:tcPr>
            <w:tcW w:w="240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Protein Name</w:t>
            </w:r>
          </w:p>
        </w:tc>
        <w:tc>
          <w:tcPr>
            <w:tcW w:w="365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Description (UniProt)</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Clathrin</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CLTB</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clathrin light chain B</w:t>
            </w:r>
          </w:p>
        </w:tc>
        <w:tc>
          <w:tcPr>
            <w:tcW w:w="36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major protein of the polyhedral coat of CCPs and CCVs</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CLTC</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clathrin heavy chain 1</w:t>
            </w:r>
          </w:p>
        </w:tc>
        <w:tc>
          <w:tcPr>
            <w:tcW w:w="3659" w:type="dxa"/>
            <w:vMerge/>
            <w:tcBorders>
              <w:top w:val="single" w:sz="6" w:space="0" w:color="000000"/>
              <w:left w:val="single" w:sz="6" w:space="0" w:color="000000"/>
              <w:bottom w:val="single" w:sz="6" w:space="0" w:color="000000"/>
              <w:right w:val="single" w:sz="6" w:space="0" w:color="000000"/>
            </w:tcBorders>
            <w:vAlign w:val="center"/>
            <w:hideMark/>
          </w:tcPr>
          <w:p w:rsidR="001955AE" w:rsidRPr="00C02CB8" w:rsidRDefault="001955AE" w:rsidP="00ED7DF4">
            <w:pPr>
              <w:spacing w:after="0" w:line="276" w:lineRule="auto"/>
              <w:rPr>
                <w:rFonts w:ascii="Arial" w:eastAsia="Arial" w:hAnsi="Arial" w:cs="Arial"/>
                <w:sz w:val="18"/>
                <w:szCs w:val="16"/>
              </w:rPr>
            </w:pP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Adaptor Protein Complex</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AP1B1</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AP1 subunit β1</w:t>
            </w:r>
          </w:p>
        </w:tc>
        <w:tc>
          <w:tcPr>
            <w:tcW w:w="36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mediate both the recruitment of Clathrin to membranes and the recognition of sorting signals within the cytosolic tails of transmembrane cargo molecules</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b/>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AP2A1,A2,B1,M1</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AP2 subunit α1,2,β1,µ1</w:t>
            </w:r>
          </w:p>
        </w:tc>
        <w:tc>
          <w:tcPr>
            <w:tcW w:w="3659" w:type="dxa"/>
            <w:vMerge/>
            <w:tcBorders>
              <w:top w:val="single" w:sz="6" w:space="0" w:color="000000"/>
              <w:left w:val="single" w:sz="6" w:space="0" w:color="000000"/>
              <w:bottom w:val="single" w:sz="6" w:space="0" w:color="000000"/>
              <w:right w:val="single" w:sz="6" w:space="0" w:color="000000"/>
            </w:tcBorders>
            <w:vAlign w:val="center"/>
            <w:hideMark/>
          </w:tcPr>
          <w:p w:rsidR="001955AE" w:rsidRPr="00C02CB8" w:rsidRDefault="001955AE" w:rsidP="00ED7DF4">
            <w:pPr>
              <w:spacing w:after="0" w:line="276" w:lineRule="auto"/>
              <w:rPr>
                <w:rFonts w:ascii="Arial" w:eastAsia="Arial" w:hAnsi="Arial" w:cs="Arial"/>
                <w:sz w:val="18"/>
                <w:szCs w:val="16"/>
              </w:rPr>
            </w:pP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b/>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AP3B1</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AP3 subunit β1</w:t>
            </w:r>
          </w:p>
        </w:tc>
        <w:tc>
          <w:tcPr>
            <w:tcW w:w="3659" w:type="dxa"/>
            <w:vMerge/>
            <w:tcBorders>
              <w:top w:val="single" w:sz="6" w:space="0" w:color="000000"/>
              <w:left w:val="single" w:sz="6" w:space="0" w:color="000000"/>
              <w:bottom w:val="single" w:sz="6" w:space="0" w:color="000000"/>
              <w:right w:val="single" w:sz="6" w:space="0" w:color="000000"/>
            </w:tcBorders>
            <w:vAlign w:val="center"/>
            <w:hideMark/>
          </w:tcPr>
          <w:p w:rsidR="001955AE" w:rsidRPr="00C02CB8" w:rsidRDefault="001955AE" w:rsidP="00ED7DF4">
            <w:pPr>
              <w:spacing w:after="0" w:line="276" w:lineRule="auto"/>
              <w:rPr>
                <w:rFonts w:ascii="Arial" w:eastAsia="Arial" w:hAnsi="Arial" w:cs="Arial"/>
                <w:sz w:val="18"/>
                <w:szCs w:val="16"/>
              </w:rPr>
            </w:pP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Clathrin / AP associated</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EPS15L1</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Epidermal growth factor receptor substrate 15-like 1</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constitutive component of clathrin-coated pits that is required for receptor-mediated endocytosis.</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b/>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EPN2,3</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Epsin-2,3</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role in the formation of CCVs and CME</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b/>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EPN4</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Epsin-4</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role in transport via CCV from the TGN to endosomes</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b/>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PICALM</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Phosphatidylinositol-binding clathrin assembly protein</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recruits clathrin and AP2 to cell membranes at sites of CCP and CCV assembly</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Vesicle fission &amp; transport</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DNM1,2</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Dynamin-1,2</w:t>
            </w:r>
          </w:p>
          <w:p w:rsidR="001955AE" w:rsidRPr="00C02CB8" w:rsidRDefault="001955AE" w:rsidP="00ED7DF4">
            <w:pPr>
              <w:spacing w:after="0" w:line="276" w:lineRule="auto"/>
              <w:rPr>
                <w:rFonts w:ascii="Arial" w:eastAsia="Arial" w:hAnsi="Arial" w:cs="Arial"/>
                <w:sz w:val="18"/>
                <w:szCs w:val="16"/>
              </w:rPr>
            </w:pP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microtubule-associated force-producing protein</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DCTN1,2</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Dynactin subunit 1,2</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required for the cytoplasmic dynein-driven retrograde movement of vesicles and organelles along microtubules</w:t>
            </w:r>
          </w:p>
        </w:tc>
      </w:tr>
      <w:tr w:rsidR="00C02CB8" w:rsidRPr="00C02CB8" w:rsidTr="00ED7DF4">
        <w:trPr>
          <w:trHeight w:val="720"/>
        </w:trPr>
        <w:tc>
          <w:tcPr>
            <w:tcW w:w="1701"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Ras-related Proteins</w:t>
            </w:r>
          </w:p>
        </w:tc>
        <w:tc>
          <w:tcPr>
            <w:tcW w:w="1701"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RAB1,2,5,6,7</w:t>
            </w:r>
          </w:p>
          <w:p w:rsidR="001955AE" w:rsidRPr="00C02CB8" w:rsidRDefault="001955AE" w:rsidP="00ED7DF4">
            <w:pPr>
              <w:spacing w:after="0" w:line="276" w:lineRule="auto"/>
              <w:rPr>
                <w:rFonts w:eastAsia="Arial" w:cs="Arial"/>
                <w:sz w:val="18"/>
                <w:szCs w:val="16"/>
              </w:rPr>
            </w:pPr>
            <w:r w:rsidRPr="00C02CB8">
              <w:rPr>
                <w:rFonts w:eastAsia="Arial" w:cs="Arial"/>
                <w:sz w:val="18"/>
                <w:szCs w:val="16"/>
              </w:rPr>
              <w:t>RAB10,11,14,35</w:t>
            </w:r>
          </w:p>
        </w:tc>
        <w:tc>
          <w:tcPr>
            <w:tcW w:w="2401"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Ras-related GTPases</w:t>
            </w:r>
          </w:p>
          <w:p w:rsidR="001955AE" w:rsidRPr="00C02CB8" w:rsidRDefault="001955AE" w:rsidP="00ED7DF4">
            <w:pPr>
              <w:spacing w:after="0" w:line="276" w:lineRule="auto"/>
              <w:rPr>
                <w:rFonts w:ascii="Arial" w:eastAsia="Arial" w:hAnsi="Arial" w:cs="Arial"/>
                <w:sz w:val="18"/>
                <w:szCs w:val="16"/>
              </w:rPr>
            </w:pP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key regulators of intracellular membrane trafficking, from the formation of transport vesicles to their fusion with membranes</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Rab associated</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TBC1D15</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TBC1 domain family member 15</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GTPase activating protein for RAB7A</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GDI1,2</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Rab GDP dissociation inhibitor alpha, beta</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regulates the GDP/GTP exchange reaction of most Rab proteins</w:t>
            </w:r>
          </w:p>
        </w:tc>
      </w:tr>
      <w:tr w:rsidR="00C02CB8" w:rsidRPr="00C02CB8" w:rsidTr="00ED7DF4">
        <w:trPr>
          <w:trHeight w:val="511"/>
        </w:trPr>
        <w:tc>
          <w:tcPr>
            <w:tcW w:w="1701"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Sorting nexins</w:t>
            </w:r>
          </w:p>
        </w:tc>
        <w:tc>
          <w:tcPr>
            <w:tcW w:w="1701"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SNX1,2,6,9</w:t>
            </w:r>
          </w:p>
        </w:tc>
        <w:tc>
          <w:tcPr>
            <w:tcW w:w="2401"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sorting nexin-1,2,6,9</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involved in several stages of intracellular trafficking</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b/>
                <w:sz w:val="18"/>
                <w:szCs w:val="16"/>
              </w:rPr>
            </w:pPr>
            <w:r w:rsidRPr="00C02CB8">
              <w:rPr>
                <w:rFonts w:eastAsia="Arial" w:cs="Arial"/>
                <w:b/>
                <w:sz w:val="18"/>
                <w:szCs w:val="16"/>
              </w:rPr>
              <w:t>Vesicle trafficking</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RME8</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required for receptor-mediated endocytosis 8</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involved in membrane trafficking through early endosomes</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VPS35</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vesicle protein sorting 35</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Acts as component of the retromer cargo-selective complex (CSC).</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SEC22B</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SEC22 vesicle-trafficking protein homolog B</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SNARE involved in targeting and fusion of ER-derived transport vesicles with the Golgi complex as well as Golgi-derived retrograde transport vesicles with the ER.</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GGA1</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Golgi associated, gamma adaptin ear containing, ARF binding protein 1</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plays a role in protein sorting and trafficking between the TGN and endosomes</w:t>
            </w:r>
          </w:p>
        </w:tc>
      </w:tr>
      <w:tr w:rsidR="00C02CB8" w:rsidRPr="00C02CB8" w:rsidTr="00ED7DF4">
        <w:trPr>
          <w:trHeight w:val="488"/>
        </w:trPr>
        <w:tc>
          <w:tcPr>
            <w:tcW w:w="1701"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p>
        </w:tc>
        <w:tc>
          <w:tcPr>
            <w:tcW w:w="1701"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TMED2,10</w:t>
            </w:r>
          </w:p>
        </w:tc>
        <w:tc>
          <w:tcPr>
            <w:tcW w:w="2401"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transmembrane-trafficking protein</w:t>
            </w:r>
          </w:p>
        </w:tc>
        <w:tc>
          <w:tcPr>
            <w:tcW w:w="3659"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involved in vesicular protein trafficking</w:t>
            </w:r>
          </w:p>
        </w:tc>
      </w:tr>
      <w:tr w:rsidR="00C02CB8" w:rsidRPr="00C02CB8" w:rsidTr="00ED7DF4">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955AE" w:rsidRPr="00C02CB8" w:rsidRDefault="001955AE" w:rsidP="00ED7DF4">
            <w:pPr>
              <w:spacing w:after="0" w:line="276" w:lineRule="auto"/>
              <w:rPr>
                <w:rFonts w:ascii="Arial" w:eastAsia="Arial" w:hAnsi="Arial" w:cs="Arial"/>
                <w:sz w:val="18"/>
                <w:szCs w:val="16"/>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EXOC6B</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exocyst complex component 6B</w:t>
            </w:r>
          </w:p>
        </w:tc>
        <w:tc>
          <w:tcPr>
            <w:tcW w:w="3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955AE" w:rsidRPr="00C02CB8" w:rsidRDefault="001955AE" w:rsidP="00ED7DF4">
            <w:pPr>
              <w:spacing w:after="0" w:line="276" w:lineRule="auto"/>
              <w:rPr>
                <w:rFonts w:ascii="Arial" w:eastAsia="Arial" w:hAnsi="Arial" w:cs="Arial"/>
                <w:sz w:val="18"/>
                <w:szCs w:val="16"/>
              </w:rPr>
            </w:pPr>
            <w:r w:rsidRPr="00C02CB8">
              <w:rPr>
                <w:rFonts w:eastAsia="Arial" w:cs="Arial"/>
                <w:sz w:val="18"/>
                <w:szCs w:val="16"/>
              </w:rPr>
              <w:t>involved in the docking of exocytic vesicles with fusion sites on the plasma membrane</w:t>
            </w:r>
          </w:p>
        </w:tc>
      </w:tr>
    </w:tbl>
    <w:p w:rsidR="00145AD7" w:rsidRPr="00C02CB8" w:rsidRDefault="00145AD7">
      <w:pPr>
        <w:spacing w:after="0" w:line="240" w:lineRule="auto"/>
        <w:rPr>
          <w:sz w:val="28"/>
          <w:szCs w:val="24"/>
        </w:rPr>
      </w:pPr>
      <w:r w:rsidRPr="00C02CB8">
        <w:rPr>
          <w:sz w:val="28"/>
          <w:szCs w:val="24"/>
        </w:rPr>
        <w:br w:type="page"/>
      </w:r>
    </w:p>
    <w:p w:rsidR="002032BD" w:rsidRPr="00C02CB8" w:rsidRDefault="009D7332" w:rsidP="00AB3073">
      <w:pPr>
        <w:spacing w:after="0" w:line="360" w:lineRule="auto"/>
        <w:jc w:val="both"/>
        <w:rPr>
          <w:b/>
          <w:sz w:val="28"/>
          <w:szCs w:val="24"/>
        </w:rPr>
      </w:pPr>
      <w:r w:rsidRPr="00C02CB8">
        <w:rPr>
          <w:b/>
          <w:sz w:val="28"/>
          <w:szCs w:val="24"/>
        </w:rPr>
        <w:t>Supplementary Figures and Legends</w:t>
      </w:r>
    </w:p>
    <w:p w:rsidR="00583E60" w:rsidRPr="00C02CB8" w:rsidRDefault="00137E21" w:rsidP="00AB3073">
      <w:pPr>
        <w:spacing w:after="0" w:line="360" w:lineRule="auto"/>
        <w:jc w:val="both"/>
        <w:rPr>
          <w:b/>
          <w:sz w:val="28"/>
          <w:szCs w:val="24"/>
        </w:rPr>
      </w:pPr>
      <w:r w:rsidRPr="00C02CB8">
        <w:rPr>
          <w:noProof/>
          <w:lang w:val="en-IN" w:eastAsia="en-IN"/>
        </w:rPr>
        <w:drawing>
          <wp:inline distT="0" distB="0" distL="0" distR="0" wp14:anchorId="682BD086" wp14:editId="73EB820A">
            <wp:extent cx="5875200" cy="8280000"/>
            <wp:effectExtent l="0" t="0" r="0" b="6985"/>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75200" cy="8280000"/>
                    </a:xfrm>
                    <a:prstGeom prst="rect">
                      <a:avLst/>
                    </a:prstGeom>
                    <a:noFill/>
                    <a:ln>
                      <a:noFill/>
                    </a:ln>
                  </pic:spPr>
                </pic:pic>
              </a:graphicData>
            </a:graphic>
          </wp:inline>
        </w:drawing>
      </w:r>
    </w:p>
    <w:p w:rsidR="00A35D61" w:rsidRPr="00C02CB8" w:rsidRDefault="00A35D61">
      <w:pPr>
        <w:spacing w:after="0" w:line="240" w:lineRule="auto"/>
        <w:rPr>
          <w:b/>
          <w:sz w:val="28"/>
          <w:szCs w:val="24"/>
        </w:rPr>
      </w:pPr>
      <w:r w:rsidRPr="00C02CB8">
        <w:rPr>
          <w:b/>
          <w:sz w:val="28"/>
          <w:szCs w:val="24"/>
        </w:rPr>
        <w:br w:type="page"/>
      </w:r>
    </w:p>
    <w:p w:rsidR="009D7332" w:rsidRPr="00C02CB8" w:rsidRDefault="009D7332" w:rsidP="00AB3073">
      <w:pPr>
        <w:spacing w:after="0" w:line="360" w:lineRule="auto"/>
        <w:jc w:val="both"/>
        <w:rPr>
          <w:b/>
          <w:sz w:val="24"/>
          <w:szCs w:val="24"/>
        </w:rPr>
      </w:pPr>
      <w:r w:rsidRPr="00C02CB8">
        <w:rPr>
          <w:b/>
          <w:sz w:val="24"/>
          <w:szCs w:val="24"/>
        </w:rPr>
        <w:t>Figure S1: Single channel images of the co-localization of MACC1 with TfR and CME factors</w:t>
      </w:r>
    </w:p>
    <w:p w:rsidR="009D7332" w:rsidRPr="00C02CB8" w:rsidRDefault="009D7332" w:rsidP="00AB3073">
      <w:pPr>
        <w:spacing w:after="0" w:line="360" w:lineRule="auto"/>
        <w:jc w:val="both"/>
        <w:rPr>
          <w:sz w:val="24"/>
          <w:szCs w:val="24"/>
        </w:rPr>
      </w:pPr>
      <w:r w:rsidRPr="00C02CB8">
        <w:rPr>
          <w:b/>
          <w:sz w:val="24"/>
          <w:szCs w:val="24"/>
        </w:rPr>
        <w:t>(</w:t>
      </w:r>
      <w:r w:rsidR="00812F14" w:rsidRPr="00C02CB8">
        <w:rPr>
          <w:b/>
          <w:sz w:val="24"/>
          <w:szCs w:val="24"/>
        </w:rPr>
        <w:t>a-d</w:t>
      </w:r>
      <w:r w:rsidRPr="00C02CB8">
        <w:rPr>
          <w:b/>
          <w:sz w:val="24"/>
          <w:szCs w:val="24"/>
        </w:rPr>
        <w:t>)</w:t>
      </w:r>
      <w:r w:rsidRPr="00C02CB8">
        <w:rPr>
          <w:sz w:val="24"/>
          <w:szCs w:val="24"/>
        </w:rPr>
        <w:t xml:space="preserve"> </w:t>
      </w:r>
      <w:r w:rsidR="00E25FCB" w:rsidRPr="00C02CB8">
        <w:rPr>
          <w:sz w:val="24"/>
          <w:szCs w:val="24"/>
        </w:rPr>
        <w:t xml:space="preserve">Qualitative assessment of the </w:t>
      </w:r>
      <w:r w:rsidR="00B32DF4" w:rsidRPr="00C02CB8">
        <w:rPr>
          <w:sz w:val="24"/>
          <w:szCs w:val="24"/>
        </w:rPr>
        <w:t>c</w:t>
      </w:r>
      <w:r w:rsidRPr="00C02CB8">
        <w:rPr>
          <w:sz w:val="24"/>
          <w:szCs w:val="24"/>
        </w:rPr>
        <w:t>o-localization of MACC1 and TfR</w:t>
      </w:r>
      <w:r w:rsidR="00AB3073" w:rsidRPr="00C02CB8">
        <w:rPr>
          <w:sz w:val="24"/>
          <w:szCs w:val="24"/>
        </w:rPr>
        <w:t xml:space="preserve"> </w:t>
      </w:r>
      <w:r w:rsidR="00AB3073" w:rsidRPr="00C02CB8">
        <w:rPr>
          <w:b/>
          <w:sz w:val="24"/>
          <w:szCs w:val="24"/>
        </w:rPr>
        <w:t>(</w:t>
      </w:r>
      <w:r w:rsidR="00812F14" w:rsidRPr="00C02CB8">
        <w:rPr>
          <w:b/>
          <w:sz w:val="24"/>
          <w:szCs w:val="24"/>
        </w:rPr>
        <w:t>a</w:t>
      </w:r>
      <w:r w:rsidR="00AB3073" w:rsidRPr="00C02CB8">
        <w:rPr>
          <w:b/>
          <w:sz w:val="24"/>
          <w:szCs w:val="24"/>
        </w:rPr>
        <w:t>)</w:t>
      </w:r>
      <w:r w:rsidR="00AB3073" w:rsidRPr="00C02CB8">
        <w:rPr>
          <w:sz w:val="24"/>
          <w:szCs w:val="24"/>
        </w:rPr>
        <w:t xml:space="preserve">, CLTC </w:t>
      </w:r>
      <w:r w:rsidR="00AB3073" w:rsidRPr="00C02CB8">
        <w:rPr>
          <w:b/>
          <w:sz w:val="24"/>
          <w:szCs w:val="24"/>
        </w:rPr>
        <w:t>(</w:t>
      </w:r>
      <w:r w:rsidR="00812F14" w:rsidRPr="00C02CB8">
        <w:rPr>
          <w:b/>
          <w:sz w:val="24"/>
          <w:szCs w:val="24"/>
        </w:rPr>
        <w:t>b</w:t>
      </w:r>
      <w:r w:rsidR="00AB3073" w:rsidRPr="00C02CB8">
        <w:rPr>
          <w:b/>
          <w:sz w:val="24"/>
          <w:szCs w:val="24"/>
        </w:rPr>
        <w:t>)</w:t>
      </w:r>
      <w:r w:rsidR="00AB3073" w:rsidRPr="00C02CB8">
        <w:rPr>
          <w:sz w:val="24"/>
          <w:szCs w:val="24"/>
        </w:rPr>
        <w:t xml:space="preserve">, DNM2 </w:t>
      </w:r>
      <w:r w:rsidR="00AB3073" w:rsidRPr="00C02CB8">
        <w:rPr>
          <w:b/>
          <w:sz w:val="24"/>
          <w:szCs w:val="24"/>
        </w:rPr>
        <w:t>(</w:t>
      </w:r>
      <w:r w:rsidR="00812F14" w:rsidRPr="00C02CB8">
        <w:rPr>
          <w:b/>
          <w:sz w:val="24"/>
          <w:szCs w:val="24"/>
        </w:rPr>
        <w:t>c</w:t>
      </w:r>
      <w:r w:rsidR="00AB3073" w:rsidRPr="00C02CB8">
        <w:rPr>
          <w:b/>
          <w:sz w:val="24"/>
          <w:szCs w:val="24"/>
        </w:rPr>
        <w:t>)</w:t>
      </w:r>
      <w:r w:rsidR="00AB3073" w:rsidRPr="00C02CB8">
        <w:rPr>
          <w:sz w:val="24"/>
          <w:szCs w:val="24"/>
        </w:rPr>
        <w:t xml:space="preserve"> and AP</w:t>
      </w:r>
      <w:r w:rsidR="00AB3073" w:rsidRPr="00C02CB8">
        <w:rPr>
          <w:sz w:val="24"/>
          <w:szCs w:val="24"/>
        </w:rPr>
        <w:noBreakHyphen/>
      </w:r>
      <w:r w:rsidRPr="00C02CB8">
        <w:rPr>
          <w:sz w:val="24"/>
          <w:szCs w:val="24"/>
        </w:rPr>
        <w:t xml:space="preserve">2α </w:t>
      </w:r>
      <w:r w:rsidRPr="00C02CB8">
        <w:rPr>
          <w:b/>
          <w:sz w:val="24"/>
          <w:szCs w:val="24"/>
        </w:rPr>
        <w:t>(</w:t>
      </w:r>
      <w:r w:rsidR="00812F14" w:rsidRPr="00C02CB8">
        <w:rPr>
          <w:b/>
          <w:sz w:val="24"/>
          <w:szCs w:val="24"/>
        </w:rPr>
        <w:t>d</w:t>
      </w:r>
      <w:r w:rsidRPr="00C02CB8">
        <w:rPr>
          <w:b/>
          <w:sz w:val="24"/>
          <w:szCs w:val="24"/>
        </w:rPr>
        <w:t>)</w:t>
      </w:r>
      <w:r w:rsidRPr="00C02CB8">
        <w:rPr>
          <w:sz w:val="24"/>
          <w:szCs w:val="24"/>
        </w:rPr>
        <w:t xml:space="preserve"> in SW480/MACC1 cells before (upper panel) and after 15 min (lower panel) stimulation of TfR internalization with h</w:t>
      </w:r>
      <w:r w:rsidR="00E25FCB" w:rsidRPr="00C02CB8">
        <w:rPr>
          <w:sz w:val="24"/>
          <w:szCs w:val="24"/>
        </w:rPr>
        <w:noBreakHyphen/>
      </w:r>
      <w:r w:rsidRPr="00C02CB8">
        <w:rPr>
          <w:sz w:val="24"/>
          <w:szCs w:val="24"/>
        </w:rPr>
        <w:t>Tf. Nuclei were stained with DAPI. Scale bar =</w:t>
      </w:r>
      <w:r w:rsidR="00FD3973" w:rsidRPr="00C02CB8">
        <w:rPr>
          <w:sz w:val="24"/>
          <w:szCs w:val="24"/>
        </w:rPr>
        <w:t> 10 </w:t>
      </w:r>
      <w:r w:rsidRPr="00C02CB8">
        <w:rPr>
          <w:sz w:val="24"/>
          <w:szCs w:val="24"/>
        </w:rPr>
        <w:t xml:space="preserve">µm. </w:t>
      </w:r>
      <w:r w:rsidRPr="00C02CB8">
        <w:rPr>
          <w:b/>
          <w:sz w:val="24"/>
          <w:szCs w:val="24"/>
        </w:rPr>
        <w:t>(</w:t>
      </w:r>
      <w:r w:rsidR="00812F14" w:rsidRPr="00C02CB8">
        <w:rPr>
          <w:b/>
          <w:sz w:val="24"/>
          <w:szCs w:val="24"/>
        </w:rPr>
        <w:t>e</w:t>
      </w:r>
      <w:r w:rsidR="00FD3973" w:rsidRPr="00C02CB8">
        <w:rPr>
          <w:b/>
          <w:sz w:val="24"/>
          <w:szCs w:val="24"/>
        </w:rPr>
        <w:t>,</w:t>
      </w:r>
      <w:r w:rsidR="00812F14" w:rsidRPr="00C02CB8">
        <w:rPr>
          <w:b/>
          <w:sz w:val="24"/>
          <w:szCs w:val="24"/>
        </w:rPr>
        <w:t>f</w:t>
      </w:r>
      <w:r w:rsidRPr="00C02CB8">
        <w:rPr>
          <w:b/>
          <w:sz w:val="24"/>
          <w:szCs w:val="24"/>
        </w:rPr>
        <w:t>)</w:t>
      </w:r>
      <w:r w:rsidR="00B32DF4" w:rsidRPr="00C02CB8">
        <w:rPr>
          <w:sz w:val="24"/>
          <w:szCs w:val="24"/>
        </w:rPr>
        <w:t xml:space="preserve"> </w:t>
      </w:r>
      <w:r w:rsidR="00E25FCB" w:rsidRPr="00C02CB8">
        <w:rPr>
          <w:sz w:val="24"/>
          <w:szCs w:val="24"/>
        </w:rPr>
        <w:t xml:space="preserve">Qualitative assessment of the </w:t>
      </w:r>
      <w:r w:rsidR="00B32DF4" w:rsidRPr="00C02CB8">
        <w:rPr>
          <w:sz w:val="24"/>
          <w:szCs w:val="24"/>
        </w:rPr>
        <w:t>c</w:t>
      </w:r>
      <w:r w:rsidRPr="00C02CB8">
        <w:rPr>
          <w:sz w:val="24"/>
          <w:szCs w:val="24"/>
        </w:rPr>
        <w:t xml:space="preserve">o-localization of MACC1, TfR, CLTC </w:t>
      </w:r>
      <w:r w:rsidRPr="00C02CB8">
        <w:rPr>
          <w:b/>
          <w:sz w:val="24"/>
          <w:szCs w:val="24"/>
        </w:rPr>
        <w:t>(</w:t>
      </w:r>
      <w:r w:rsidR="00812F14" w:rsidRPr="00C02CB8">
        <w:rPr>
          <w:b/>
          <w:sz w:val="24"/>
          <w:szCs w:val="24"/>
        </w:rPr>
        <w:t>e</w:t>
      </w:r>
      <w:r w:rsidRPr="00C02CB8">
        <w:rPr>
          <w:b/>
          <w:sz w:val="24"/>
          <w:szCs w:val="24"/>
        </w:rPr>
        <w:t>)</w:t>
      </w:r>
      <w:r w:rsidRPr="00C02CB8">
        <w:rPr>
          <w:sz w:val="24"/>
          <w:szCs w:val="24"/>
        </w:rPr>
        <w:t xml:space="preserve"> or EEA1 </w:t>
      </w:r>
      <w:r w:rsidRPr="00C02CB8">
        <w:rPr>
          <w:b/>
          <w:sz w:val="24"/>
          <w:szCs w:val="24"/>
        </w:rPr>
        <w:t>(</w:t>
      </w:r>
      <w:r w:rsidR="00812F14" w:rsidRPr="00C02CB8">
        <w:rPr>
          <w:b/>
          <w:sz w:val="24"/>
          <w:szCs w:val="24"/>
        </w:rPr>
        <w:t>f</w:t>
      </w:r>
      <w:r w:rsidRPr="00C02CB8">
        <w:rPr>
          <w:b/>
          <w:sz w:val="24"/>
          <w:szCs w:val="24"/>
        </w:rPr>
        <w:t>)</w:t>
      </w:r>
      <w:r w:rsidRPr="00C02CB8">
        <w:rPr>
          <w:sz w:val="24"/>
          <w:szCs w:val="24"/>
        </w:rPr>
        <w:t xml:space="preserve"> after triple-staining of SW480/MACC1 cells before (upper panel) and after 15 min (lower panel) stimulatio</w:t>
      </w:r>
      <w:r w:rsidR="00AB3073" w:rsidRPr="00C02CB8">
        <w:rPr>
          <w:sz w:val="24"/>
          <w:szCs w:val="24"/>
        </w:rPr>
        <w:t>n of TfR internalization with h</w:t>
      </w:r>
      <w:r w:rsidR="00AB3073" w:rsidRPr="00C02CB8">
        <w:rPr>
          <w:sz w:val="24"/>
          <w:szCs w:val="24"/>
        </w:rPr>
        <w:noBreakHyphen/>
      </w:r>
      <w:r w:rsidRPr="00C02CB8">
        <w:rPr>
          <w:sz w:val="24"/>
          <w:szCs w:val="24"/>
        </w:rPr>
        <w:t>Tf. Nuclei were stained with DAPI. Scale bar =</w:t>
      </w:r>
      <w:r w:rsidR="00FD3973" w:rsidRPr="00C02CB8">
        <w:rPr>
          <w:sz w:val="24"/>
          <w:szCs w:val="24"/>
        </w:rPr>
        <w:t> </w:t>
      </w:r>
      <w:r w:rsidRPr="00C02CB8">
        <w:rPr>
          <w:sz w:val="24"/>
          <w:szCs w:val="24"/>
        </w:rPr>
        <w:t>10</w:t>
      </w:r>
      <w:r w:rsidR="00FD3973" w:rsidRPr="00C02CB8">
        <w:rPr>
          <w:sz w:val="24"/>
          <w:szCs w:val="24"/>
        </w:rPr>
        <w:t> </w:t>
      </w:r>
      <w:r w:rsidRPr="00C02CB8">
        <w:rPr>
          <w:sz w:val="24"/>
          <w:szCs w:val="24"/>
        </w:rPr>
        <w:t>µm.</w:t>
      </w:r>
    </w:p>
    <w:p w:rsidR="009D7332" w:rsidRPr="00C02CB8" w:rsidRDefault="009D7332" w:rsidP="00AB3073">
      <w:pPr>
        <w:spacing w:after="0" w:line="360" w:lineRule="auto"/>
        <w:jc w:val="both"/>
        <w:rPr>
          <w:sz w:val="24"/>
          <w:szCs w:val="24"/>
        </w:rPr>
      </w:pPr>
      <w:r w:rsidRPr="00C02CB8">
        <w:rPr>
          <w:sz w:val="24"/>
          <w:szCs w:val="24"/>
        </w:rPr>
        <w:t>TfR – transferrin receptor 1; CLTC – clathrin heav</w:t>
      </w:r>
      <w:r w:rsidR="00AB3073" w:rsidRPr="00C02CB8">
        <w:rPr>
          <w:sz w:val="24"/>
          <w:szCs w:val="24"/>
        </w:rPr>
        <w:t>y chain 1; DNM2 – dynamin 2; AP</w:t>
      </w:r>
      <w:r w:rsidR="00AB3073" w:rsidRPr="00C02CB8">
        <w:rPr>
          <w:sz w:val="24"/>
          <w:szCs w:val="24"/>
        </w:rPr>
        <w:noBreakHyphen/>
      </w:r>
      <w:r w:rsidRPr="00C02CB8">
        <w:rPr>
          <w:sz w:val="24"/>
          <w:szCs w:val="24"/>
        </w:rPr>
        <w:t>2α – adaptor protein 2α; EEA1 –early endosome antigen 1</w:t>
      </w:r>
    </w:p>
    <w:p w:rsidR="00145AD7" w:rsidRPr="00C02CB8" w:rsidRDefault="00145AD7">
      <w:pPr>
        <w:spacing w:after="0" w:line="240" w:lineRule="auto"/>
        <w:rPr>
          <w:sz w:val="24"/>
          <w:szCs w:val="24"/>
        </w:rPr>
      </w:pPr>
      <w:r w:rsidRPr="00C02CB8">
        <w:rPr>
          <w:sz w:val="24"/>
          <w:szCs w:val="24"/>
        </w:rPr>
        <w:br w:type="page"/>
      </w:r>
    </w:p>
    <w:p w:rsidR="006E74E5" w:rsidRPr="00C02CB8" w:rsidRDefault="00137E21" w:rsidP="00AB3073">
      <w:pPr>
        <w:spacing w:after="0" w:line="360" w:lineRule="auto"/>
        <w:jc w:val="both"/>
        <w:rPr>
          <w:sz w:val="24"/>
          <w:szCs w:val="24"/>
        </w:rPr>
      </w:pPr>
      <w:r w:rsidRPr="00C02CB8">
        <w:rPr>
          <w:noProof/>
          <w:lang w:val="en-IN" w:eastAsia="en-IN"/>
        </w:rPr>
        <w:drawing>
          <wp:inline distT="0" distB="0" distL="0" distR="0" wp14:anchorId="2CE89FE9" wp14:editId="734B853C">
            <wp:extent cx="5166000" cy="8638580"/>
            <wp:effectExtent l="0" t="0" r="0" b="0"/>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66000" cy="8638580"/>
                    </a:xfrm>
                    <a:prstGeom prst="rect">
                      <a:avLst/>
                    </a:prstGeom>
                    <a:noFill/>
                    <a:ln>
                      <a:noFill/>
                    </a:ln>
                  </pic:spPr>
                </pic:pic>
              </a:graphicData>
            </a:graphic>
          </wp:inline>
        </w:drawing>
      </w:r>
    </w:p>
    <w:p w:rsidR="006E74E5" w:rsidRPr="00C02CB8" w:rsidRDefault="006E74E5">
      <w:pPr>
        <w:spacing w:after="0" w:line="240" w:lineRule="auto"/>
        <w:rPr>
          <w:sz w:val="24"/>
          <w:szCs w:val="24"/>
        </w:rPr>
      </w:pPr>
      <w:r w:rsidRPr="00C02CB8">
        <w:rPr>
          <w:sz w:val="24"/>
          <w:szCs w:val="24"/>
        </w:rPr>
        <w:br w:type="page"/>
      </w:r>
    </w:p>
    <w:p w:rsidR="009D7332" w:rsidRPr="00C02CB8" w:rsidRDefault="009D7332" w:rsidP="00AB3073">
      <w:pPr>
        <w:spacing w:after="0" w:line="360" w:lineRule="auto"/>
        <w:jc w:val="both"/>
        <w:rPr>
          <w:b/>
          <w:sz w:val="24"/>
          <w:szCs w:val="24"/>
        </w:rPr>
      </w:pPr>
      <w:r w:rsidRPr="00C02CB8">
        <w:rPr>
          <w:b/>
          <w:sz w:val="24"/>
          <w:szCs w:val="24"/>
        </w:rPr>
        <w:t xml:space="preserve">Figure </w:t>
      </w:r>
      <w:r w:rsidR="00D1580C" w:rsidRPr="00C02CB8">
        <w:rPr>
          <w:b/>
          <w:sz w:val="24"/>
          <w:szCs w:val="24"/>
        </w:rPr>
        <w:t>S</w:t>
      </w:r>
      <w:r w:rsidRPr="00C02CB8">
        <w:rPr>
          <w:b/>
          <w:sz w:val="24"/>
          <w:szCs w:val="24"/>
        </w:rPr>
        <w:t>2: Comparison of gene expression in CRC cell line models</w:t>
      </w:r>
    </w:p>
    <w:p w:rsidR="009D7332" w:rsidRPr="00C02CB8" w:rsidRDefault="009D7332" w:rsidP="00AB3073">
      <w:pPr>
        <w:spacing w:after="0" w:line="360" w:lineRule="auto"/>
        <w:jc w:val="both"/>
        <w:rPr>
          <w:sz w:val="24"/>
          <w:szCs w:val="24"/>
        </w:rPr>
      </w:pPr>
      <w:r w:rsidRPr="00C02CB8">
        <w:rPr>
          <w:b/>
          <w:sz w:val="24"/>
          <w:szCs w:val="24"/>
        </w:rPr>
        <w:t>(</w:t>
      </w:r>
      <w:r w:rsidR="00812F14" w:rsidRPr="00C02CB8">
        <w:rPr>
          <w:b/>
          <w:sz w:val="24"/>
          <w:szCs w:val="24"/>
        </w:rPr>
        <w:t>a,b</w:t>
      </w:r>
      <w:r w:rsidRPr="00C02CB8">
        <w:rPr>
          <w:b/>
          <w:sz w:val="24"/>
          <w:szCs w:val="24"/>
        </w:rPr>
        <w:t>)</w:t>
      </w:r>
      <w:r w:rsidRPr="00C02CB8">
        <w:rPr>
          <w:sz w:val="24"/>
          <w:szCs w:val="24"/>
        </w:rPr>
        <w:t xml:space="preserve"> mRNA </w:t>
      </w:r>
      <w:r w:rsidRPr="00C02CB8">
        <w:rPr>
          <w:b/>
          <w:sz w:val="24"/>
          <w:szCs w:val="24"/>
        </w:rPr>
        <w:t>(</w:t>
      </w:r>
      <w:r w:rsidR="00812F14" w:rsidRPr="00C02CB8">
        <w:rPr>
          <w:b/>
          <w:sz w:val="24"/>
          <w:szCs w:val="24"/>
        </w:rPr>
        <w:t>a</w:t>
      </w:r>
      <w:r w:rsidRPr="00C02CB8">
        <w:rPr>
          <w:b/>
          <w:sz w:val="24"/>
          <w:szCs w:val="24"/>
        </w:rPr>
        <w:t>)</w:t>
      </w:r>
      <w:r w:rsidRPr="00C02CB8">
        <w:rPr>
          <w:sz w:val="24"/>
          <w:szCs w:val="24"/>
        </w:rPr>
        <w:t xml:space="preserve"> and protein </w:t>
      </w:r>
      <w:r w:rsidRPr="00C02CB8">
        <w:rPr>
          <w:b/>
          <w:sz w:val="24"/>
          <w:szCs w:val="24"/>
        </w:rPr>
        <w:t>(</w:t>
      </w:r>
      <w:r w:rsidR="00812F14" w:rsidRPr="00C02CB8">
        <w:rPr>
          <w:b/>
          <w:sz w:val="24"/>
          <w:szCs w:val="24"/>
        </w:rPr>
        <w:t>b</w:t>
      </w:r>
      <w:r w:rsidRPr="00C02CB8">
        <w:rPr>
          <w:b/>
          <w:sz w:val="24"/>
          <w:szCs w:val="24"/>
        </w:rPr>
        <w:t>)</w:t>
      </w:r>
      <w:r w:rsidRPr="00C02CB8">
        <w:rPr>
          <w:sz w:val="24"/>
          <w:szCs w:val="24"/>
        </w:rPr>
        <w:t xml:space="preserve"> expression levels of MACC1, SH3BP4 and TfR in the generated CRC cell lines SW480/e.v., SW480/MACC1 </w:t>
      </w:r>
      <w:r w:rsidR="00AB3073" w:rsidRPr="00C02CB8">
        <w:rPr>
          <w:sz w:val="24"/>
          <w:szCs w:val="24"/>
        </w:rPr>
        <w:t xml:space="preserve">and SW480/SH3BP4, respectively. </w:t>
      </w:r>
      <w:r w:rsidRPr="00C02CB8">
        <w:rPr>
          <w:b/>
          <w:sz w:val="24"/>
          <w:szCs w:val="24"/>
        </w:rPr>
        <w:t>(</w:t>
      </w:r>
      <w:r w:rsidR="00812F14" w:rsidRPr="00C02CB8">
        <w:rPr>
          <w:b/>
          <w:sz w:val="24"/>
          <w:szCs w:val="24"/>
        </w:rPr>
        <w:t>c,d</w:t>
      </w:r>
      <w:r w:rsidRPr="00C02CB8">
        <w:rPr>
          <w:b/>
          <w:sz w:val="24"/>
          <w:szCs w:val="24"/>
        </w:rPr>
        <w:t>)</w:t>
      </w:r>
      <w:r w:rsidRPr="00C02CB8">
        <w:rPr>
          <w:sz w:val="24"/>
          <w:szCs w:val="24"/>
        </w:rPr>
        <w:t xml:space="preserve"> mRNA </w:t>
      </w:r>
      <w:r w:rsidRPr="00C02CB8">
        <w:rPr>
          <w:b/>
          <w:sz w:val="24"/>
          <w:szCs w:val="24"/>
        </w:rPr>
        <w:t>(</w:t>
      </w:r>
      <w:r w:rsidR="00812F14" w:rsidRPr="00C02CB8">
        <w:rPr>
          <w:b/>
          <w:sz w:val="24"/>
          <w:szCs w:val="24"/>
        </w:rPr>
        <w:t>c</w:t>
      </w:r>
      <w:r w:rsidRPr="00C02CB8">
        <w:rPr>
          <w:b/>
          <w:sz w:val="24"/>
          <w:szCs w:val="24"/>
        </w:rPr>
        <w:t>)</w:t>
      </w:r>
      <w:r w:rsidRPr="00C02CB8">
        <w:rPr>
          <w:sz w:val="24"/>
          <w:szCs w:val="24"/>
        </w:rPr>
        <w:t xml:space="preserve"> and protein </w:t>
      </w:r>
      <w:r w:rsidRPr="00C02CB8">
        <w:rPr>
          <w:b/>
          <w:sz w:val="24"/>
          <w:szCs w:val="24"/>
        </w:rPr>
        <w:t>(</w:t>
      </w:r>
      <w:r w:rsidR="00812F14" w:rsidRPr="00C02CB8">
        <w:rPr>
          <w:b/>
          <w:sz w:val="24"/>
          <w:szCs w:val="24"/>
        </w:rPr>
        <w:t>d</w:t>
      </w:r>
      <w:r w:rsidRPr="00C02CB8">
        <w:rPr>
          <w:b/>
          <w:sz w:val="24"/>
          <w:szCs w:val="24"/>
        </w:rPr>
        <w:t>)</w:t>
      </w:r>
      <w:r w:rsidRPr="00C02CB8">
        <w:rPr>
          <w:sz w:val="24"/>
          <w:szCs w:val="24"/>
        </w:rPr>
        <w:t xml:space="preserve"> expression levels of MACC1, SH3BP4 and TfR in the generated CRC cell lines SW620/sh control and SW620/sh MACC1, respectively. Loading of equal protein amounts was controlled by β actin. </w:t>
      </w:r>
      <w:r w:rsidRPr="00C02CB8">
        <w:rPr>
          <w:b/>
          <w:sz w:val="24"/>
          <w:szCs w:val="24"/>
        </w:rPr>
        <w:t>(</w:t>
      </w:r>
      <w:r w:rsidR="00812F14" w:rsidRPr="00C02CB8">
        <w:rPr>
          <w:b/>
          <w:sz w:val="24"/>
          <w:szCs w:val="24"/>
        </w:rPr>
        <w:t>e,f</w:t>
      </w:r>
      <w:r w:rsidRPr="00C02CB8">
        <w:rPr>
          <w:b/>
          <w:sz w:val="24"/>
          <w:szCs w:val="24"/>
        </w:rPr>
        <w:t>)</w:t>
      </w:r>
      <w:r w:rsidRPr="00C02CB8">
        <w:rPr>
          <w:sz w:val="24"/>
          <w:szCs w:val="24"/>
        </w:rPr>
        <w:t xml:space="preserve"> mRNA </w:t>
      </w:r>
      <w:r w:rsidRPr="00C02CB8">
        <w:rPr>
          <w:b/>
          <w:sz w:val="24"/>
          <w:szCs w:val="24"/>
        </w:rPr>
        <w:t>(</w:t>
      </w:r>
      <w:r w:rsidR="00812F14" w:rsidRPr="00C02CB8">
        <w:rPr>
          <w:b/>
          <w:sz w:val="24"/>
          <w:szCs w:val="24"/>
        </w:rPr>
        <w:t>e</w:t>
      </w:r>
      <w:r w:rsidRPr="00C02CB8">
        <w:rPr>
          <w:b/>
          <w:sz w:val="24"/>
          <w:szCs w:val="24"/>
        </w:rPr>
        <w:t>)</w:t>
      </w:r>
      <w:r w:rsidRPr="00C02CB8">
        <w:rPr>
          <w:sz w:val="24"/>
          <w:szCs w:val="24"/>
        </w:rPr>
        <w:t xml:space="preserve"> and protein </w:t>
      </w:r>
      <w:r w:rsidRPr="00C02CB8">
        <w:rPr>
          <w:b/>
          <w:sz w:val="24"/>
          <w:szCs w:val="24"/>
        </w:rPr>
        <w:t>(</w:t>
      </w:r>
      <w:r w:rsidR="00812F14" w:rsidRPr="00C02CB8">
        <w:rPr>
          <w:b/>
          <w:sz w:val="24"/>
          <w:szCs w:val="24"/>
        </w:rPr>
        <w:t>f</w:t>
      </w:r>
      <w:r w:rsidRPr="00C02CB8">
        <w:rPr>
          <w:b/>
          <w:sz w:val="24"/>
          <w:szCs w:val="24"/>
        </w:rPr>
        <w:t>)</w:t>
      </w:r>
      <w:r w:rsidRPr="00C02CB8">
        <w:rPr>
          <w:sz w:val="24"/>
          <w:szCs w:val="24"/>
        </w:rPr>
        <w:t xml:space="preserve"> expression levels of MACC1, SH3BP4 and TfR in the generated CRC cell lines SW480/GFP, SW480/MACC</w:t>
      </w:r>
      <w:r w:rsidR="00AB3073" w:rsidRPr="00C02CB8">
        <w:rPr>
          <w:sz w:val="24"/>
          <w:szCs w:val="24"/>
        </w:rPr>
        <w:t>1</w:t>
      </w:r>
      <w:r w:rsidR="00AB3073" w:rsidRPr="00C02CB8">
        <w:rPr>
          <w:sz w:val="24"/>
          <w:szCs w:val="24"/>
        </w:rPr>
        <w:noBreakHyphen/>
        <w:t>GFP, SW480/MACC1ΔNT</w:t>
      </w:r>
      <w:r w:rsidR="00AB3073" w:rsidRPr="00C02CB8">
        <w:rPr>
          <w:sz w:val="24"/>
          <w:szCs w:val="24"/>
        </w:rPr>
        <w:noBreakHyphen/>
        <w:t>GFP, SW480/MACC1ΔSH3</w:t>
      </w:r>
      <w:r w:rsidR="00AB3073" w:rsidRPr="00C02CB8">
        <w:rPr>
          <w:sz w:val="24"/>
          <w:szCs w:val="24"/>
        </w:rPr>
        <w:noBreakHyphen/>
        <w:t>GFP and SW480/MACC1ΔNTΔSH3</w:t>
      </w:r>
      <w:r w:rsidR="00AB3073" w:rsidRPr="00C02CB8">
        <w:rPr>
          <w:sz w:val="24"/>
          <w:szCs w:val="24"/>
        </w:rPr>
        <w:noBreakHyphen/>
      </w:r>
      <w:r w:rsidRPr="00C02CB8">
        <w:rPr>
          <w:sz w:val="24"/>
          <w:szCs w:val="24"/>
        </w:rPr>
        <w:t>G</w:t>
      </w:r>
      <w:r w:rsidR="00AB3073" w:rsidRPr="00C02CB8">
        <w:rPr>
          <w:sz w:val="24"/>
          <w:szCs w:val="24"/>
        </w:rPr>
        <w:t>1</w:t>
      </w:r>
      <w:r w:rsidRPr="00C02CB8">
        <w:rPr>
          <w:sz w:val="24"/>
          <w:szCs w:val="24"/>
        </w:rPr>
        <w:t>FP cells, respectively. Loading of equal prot</w:t>
      </w:r>
      <w:r w:rsidR="00AB3073" w:rsidRPr="00C02CB8">
        <w:rPr>
          <w:sz w:val="24"/>
          <w:szCs w:val="24"/>
        </w:rPr>
        <w:t>ein amounts was controlled by β</w:t>
      </w:r>
      <w:r w:rsidR="00AB3073" w:rsidRPr="00C02CB8">
        <w:rPr>
          <w:sz w:val="24"/>
          <w:szCs w:val="24"/>
        </w:rPr>
        <w:noBreakHyphen/>
      </w:r>
      <w:r w:rsidRPr="00C02CB8">
        <w:rPr>
          <w:sz w:val="24"/>
          <w:szCs w:val="24"/>
        </w:rPr>
        <w:t xml:space="preserve">actin. </w:t>
      </w:r>
      <w:r w:rsidRPr="00C02CB8">
        <w:rPr>
          <w:b/>
          <w:sz w:val="24"/>
          <w:szCs w:val="24"/>
        </w:rPr>
        <w:t>(</w:t>
      </w:r>
      <w:r w:rsidR="00812F14" w:rsidRPr="00C02CB8">
        <w:rPr>
          <w:b/>
          <w:sz w:val="24"/>
          <w:szCs w:val="24"/>
        </w:rPr>
        <w:t>g,h</w:t>
      </w:r>
      <w:r w:rsidRPr="00C02CB8">
        <w:rPr>
          <w:b/>
          <w:sz w:val="24"/>
          <w:szCs w:val="24"/>
        </w:rPr>
        <w:t>)</w:t>
      </w:r>
      <w:r w:rsidRPr="00C02CB8">
        <w:rPr>
          <w:sz w:val="24"/>
          <w:szCs w:val="24"/>
        </w:rPr>
        <w:t xml:space="preserve"> mRNA </w:t>
      </w:r>
      <w:r w:rsidR="00812F14" w:rsidRPr="00C02CB8">
        <w:rPr>
          <w:b/>
          <w:sz w:val="24"/>
          <w:szCs w:val="24"/>
        </w:rPr>
        <w:t>(g</w:t>
      </w:r>
      <w:r w:rsidRPr="00C02CB8">
        <w:rPr>
          <w:b/>
          <w:sz w:val="24"/>
          <w:szCs w:val="24"/>
        </w:rPr>
        <w:t>)</w:t>
      </w:r>
      <w:r w:rsidRPr="00C02CB8">
        <w:rPr>
          <w:sz w:val="24"/>
          <w:szCs w:val="24"/>
        </w:rPr>
        <w:t xml:space="preserve"> and protein </w:t>
      </w:r>
      <w:r w:rsidRPr="00C02CB8">
        <w:rPr>
          <w:b/>
          <w:sz w:val="24"/>
          <w:szCs w:val="24"/>
        </w:rPr>
        <w:t>(</w:t>
      </w:r>
      <w:r w:rsidR="00812F14" w:rsidRPr="00C02CB8">
        <w:rPr>
          <w:b/>
          <w:sz w:val="24"/>
          <w:szCs w:val="24"/>
        </w:rPr>
        <w:t>h</w:t>
      </w:r>
      <w:r w:rsidRPr="00C02CB8">
        <w:rPr>
          <w:b/>
          <w:sz w:val="24"/>
          <w:szCs w:val="24"/>
        </w:rPr>
        <w:t>)</w:t>
      </w:r>
      <w:r w:rsidRPr="00C02CB8">
        <w:rPr>
          <w:sz w:val="24"/>
          <w:szCs w:val="24"/>
        </w:rPr>
        <w:t xml:space="preserve"> expression levels of EGFR and MACC1 in the generated CRC cell lines SW</w:t>
      </w:r>
      <w:r w:rsidR="00AB3073" w:rsidRPr="00C02CB8">
        <w:rPr>
          <w:sz w:val="24"/>
          <w:szCs w:val="24"/>
        </w:rPr>
        <w:t>480/GFP, SW480/MACC1</w:t>
      </w:r>
      <w:r w:rsidR="00AB3073" w:rsidRPr="00C02CB8">
        <w:rPr>
          <w:sz w:val="24"/>
          <w:szCs w:val="24"/>
        </w:rPr>
        <w:noBreakHyphen/>
        <w:t>GFP, SW480/MACC1ΔNT</w:t>
      </w:r>
      <w:r w:rsidR="00AB3073" w:rsidRPr="00C02CB8">
        <w:rPr>
          <w:sz w:val="24"/>
          <w:szCs w:val="24"/>
        </w:rPr>
        <w:noBreakHyphen/>
        <w:t>GFP, SW480/MACC1ΔSH3</w:t>
      </w:r>
      <w:r w:rsidR="00AB3073" w:rsidRPr="00C02CB8">
        <w:rPr>
          <w:sz w:val="24"/>
          <w:szCs w:val="24"/>
        </w:rPr>
        <w:noBreakHyphen/>
        <w:t>GFP and SW480/MACC1ΔNTΔSH3</w:t>
      </w:r>
      <w:r w:rsidR="00AB3073" w:rsidRPr="00C02CB8">
        <w:rPr>
          <w:sz w:val="24"/>
          <w:szCs w:val="24"/>
        </w:rPr>
        <w:noBreakHyphen/>
      </w:r>
      <w:r w:rsidRPr="00C02CB8">
        <w:rPr>
          <w:sz w:val="24"/>
          <w:szCs w:val="24"/>
        </w:rPr>
        <w:t>GFP cells, respectively. Loading of equal prot</w:t>
      </w:r>
      <w:r w:rsidR="00AB3073" w:rsidRPr="00C02CB8">
        <w:rPr>
          <w:sz w:val="24"/>
          <w:szCs w:val="24"/>
        </w:rPr>
        <w:t>ein amounts was controlled by β</w:t>
      </w:r>
      <w:r w:rsidR="00AB3073" w:rsidRPr="00C02CB8">
        <w:rPr>
          <w:sz w:val="24"/>
          <w:szCs w:val="24"/>
        </w:rPr>
        <w:noBreakHyphen/>
      </w:r>
      <w:r w:rsidRPr="00C02CB8">
        <w:rPr>
          <w:sz w:val="24"/>
          <w:szCs w:val="24"/>
        </w:rPr>
        <w:t>actin. All experiments were performed three times independently, with ANOVA as statistical analysis, * p &lt; 0.05, ** p &lt; 0.01, *** p &lt; 0.001</w:t>
      </w:r>
    </w:p>
    <w:p w:rsidR="00145AD7" w:rsidRPr="00C02CB8" w:rsidRDefault="00145AD7">
      <w:pPr>
        <w:spacing w:after="0" w:line="240" w:lineRule="auto"/>
        <w:rPr>
          <w:sz w:val="24"/>
          <w:szCs w:val="24"/>
        </w:rPr>
      </w:pPr>
      <w:r w:rsidRPr="00C02CB8">
        <w:rPr>
          <w:sz w:val="24"/>
          <w:szCs w:val="24"/>
        </w:rPr>
        <w:br w:type="page"/>
      </w:r>
    </w:p>
    <w:p w:rsidR="00FD3973" w:rsidRPr="00C02CB8" w:rsidRDefault="00137E21" w:rsidP="00AB3073">
      <w:pPr>
        <w:spacing w:after="0" w:line="360" w:lineRule="auto"/>
        <w:jc w:val="both"/>
        <w:rPr>
          <w:sz w:val="24"/>
          <w:szCs w:val="24"/>
        </w:rPr>
      </w:pPr>
      <w:r w:rsidRPr="00C02CB8">
        <w:rPr>
          <w:noProof/>
          <w:sz w:val="24"/>
          <w:szCs w:val="24"/>
          <w:lang w:val="en-IN" w:eastAsia="en-IN"/>
        </w:rPr>
        <w:drawing>
          <wp:inline distT="0" distB="0" distL="0" distR="0" wp14:anchorId="33433599" wp14:editId="346C1084">
            <wp:extent cx="5072400" cy="864000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72400" cy="8640000"/>
                    </a:xfrm>
                    <a:prstGeom prst="rect">
                      <a:avLst/>
                    </a:prstGeom>
                    <a:noFill/>
                    <a:ln>
                      <a:noFill/>
                    </a:ln>
                  </pic:spPr>
                </pic:pic>
              </a:graphicData>
            </a:graphic>
          </wp:inline>
        </w:drawing>
      </w:r>
    </w:p>
    <w:p w:rsidR="00145AD7" w:rsidRPr="00C02CB8" w:rsidRDefault="00145AD7">
      <w:pPr>
        <w:spacing w:after="0" w:line="240" w:lineRule="auto"/>
        <w:rPr>
          <w:sz w:val="24"/>
          <w:szCs w:val="24"/>
        </w:rPr>
      </w:pPr>
      <w:r w:rsidRPr="00C02CB8">
        <w:rPr>
          <w:sz w:val="24"/>
          <w:szCs w:val="24"/>
        </w:rPr>
        <w:br w:type="page"/>
      </w:r>
    </w:p>
    <w:p w:rsidR="009D7332" w:rsidRPr="00C02CB8" w:rsidRDefault="009D7332" w:rsidP="00AB3073">
      <w:pPr>
        <w:spacing w:after="0" w:line="360" w:lineRule="auto"/>
        <w:jc w:val="both"/>
        <w:rPr>
          <w:b/>
          <w:sz w:val="24"/>
          <w:szCs w:val="24"/>
        </w:rPr>
      </w:pPr>
      <w:r w:rsidRPr="00C02CB8">
        <w:rPr>
          <w:b/>
          <w:sz w:val="24"/>
          <w:szCs w:val="24"/>
        </w:rPr>
        <w:t xml:space="preserve">Figure S3: Knock-down of MACC1 </w:t>
      </w:r>
      <w:r w:rsidR="00E25FCB" w:rsidRPr="00C02CB8">
        <w:rPr>
          <w:b/>
          <w:sz w:val="24"/>
          <w:szCs w:val="24"/>
        </w:rPr>
        <w:t xml:space="preserve">modulates </w:t>
      </w:r>
      <w:r w:rsidRPr="00C02CB8">
        <w:rPr>
          <w:b/>
          <w:sz w:val="24"/>
          <w:szCs w:val="24"/>
        </w:rPr>
        <w:t>TfR uptake, but increases its degradation</w:t>
      </w:r>
    </w:p>
    <w:p w:rsidR="009D7332" w:rsidRPr="00C02CB8" w:rsidRDefault="009D7332" w:rsidP="00AB3073">
      <w:pPr>
        <w:spacing w:after="0" w:line="360" w:lineRule="auto"/>
        <w:jc w:val="both"/>
        <w:rPr>
          <w:sz w:val="24"/>
          <w:szCs w:val="24"/>
        </w:rPr>
      </w:pPr>
      <w:r w:rsidRPr="00C02CB8">
        <w:rPr>
          <w:rFonts w:cs="Calibri"/>
          <w:b/>
        </w:rPr>
        <w:t>(</w:t>
      </w:r>
      <w:r w:rsidR="00F87F8A" w:rsidRPr="00C02CB8">
        <w:rPr>
          <w:rFonts w:cs="Calibri"/>
          <w:b/>
        </w:rPr>
        <w:t>a</w:t>
      </w:r>
      <w:r w:rsidR="005273C3" w:rsidRPr="00C02CB8">
        <w:rPr>
          <w:rFonts w:cs="Calibri"/>
          <w:b/>
        </w:rPr>
        <w:t>,b</w:t>
      </w:r>
      <w:r w:rsidRPr="00C02CB8">
        <w:rPr>
          <w:rFonts w:cs="Calibri"/>
          <w:b/>
        </w:rPr>
        <w:t>)</w:t>
      </w:r>
      <w:r w:rsidRPr="00C02CB8">
        <w:rPr>
          <w:rFonts w:cs="Calibri"/>
        </w:rPr>
        <w:t xml:space="preserve"> </w:t>
      </w:r>
      <w:r w:rsidR="00AB3073" w:rsidRPr="00C02CB8">
        <w:rPr>
          <w:rFonts w:cs="Calibri"/>
        </w:rPr>
        <w:t>Surface staining of TfR with Tf</w:t>
      </w:r>
      <w:r w:rsidR="00AB3073" w:rsidRPr="00C02CB8">
        <w:rPr>
          <w:rFonts w:cs="Calibri"/>
        </w:rPr>
        <w:noBreakHyphen/>
      </w:r>
      <w:r w:rsidRPr="00C02CB8">
        <w:rPr>
          <w:rFonts w:cs="Calibri"/>
        </w:rPr>
        <w:t>647 of SW620-deriv</w:t>
      </w:r>
      <w:r w:rsidR="00AB3073" w:rsidRPr="00C02CB8">
        <w:rPr>
          <w:rFonts w:cs="Calibri"/>
        </w:rPr>
        <w:t>ed cell lines</w:t>
      </w:r>
      <w:r w:rsidR="00E25FCB" w:rsidRPr="00C02CB8">
        <w:rPr>
          <w:rFonts w:cs="Calibri"/>
        </w:rPr>
        <w:t>, pre and post h-TF treatment</w:t>
      </w:r>
      <w:r w:rsidR="00AB3073" w:rsidRPr="00C02CB8">
        <w:rPr>
          <w:rFonts w:cs="Calibri"/>
        </w:rPr>
        <w:t>. Total surface Tf</w:t>
      </w:r>
      <w:r w:rsidR="00AB3073" w:rsidRPr="00C02CB8">
        <w:rPr>
          <w:rFonts w:cs="Calibri"/>
        </w:rPr>
        <w:noBreakHyphen/>
      </w:r>
      <w:r w:rsidRPr="00C02CB8">
        <w:rPr>
          <w:rFonts w:cs="Calibri"/>
        </w:rPr>
        <w:t>647 signal intensities (mean ± SEM) were determin</w:t>
      </w:r>
      <w:r w:rsidR="00AB3073" w:rsidRPr="00C02CB8">
        <w:rPr>
          <w:rFonts w:cs="Calibri"/>
        </w:rPr>
        <w:t>ed by FACS</w:t>
      </w:r>
      <w:r w:rsidR="005273C3" w:rsidRPr="00C02CB8">
        <w:rPr>
          <w:rFonts w:cs="Calibri"/>
        </w:rPr>
        <w:t xml:space="preserve"> </w:t>
      </w:r>
      <w:r w:rsidR="005273C3" w:rsidRPr="00C02CB8">
        <w:rPr>
          <w:rFonts w:cs="Calibri"/>
          <w:b/>
        </w:rPr>
        <w:t>(a)</w:t>
      </w:r>
      <w:r w:rsidR="005273C3" w:rsidRPr="00C02CB8">
        <w:rPr>
          <w:rFonts w:cs="Calibri"/>
        </w:rPr>
        <w:t xml:space="preserve"> and WB after membrane fractionation </w:t>
      </w:r>
      <w:r w:rsidR="005273C3" w:rsidRPr="00C02CB8">
        <w:rPr>
          <w:rFonts w:cs="Calibri"/>
          <w:b/>
        </w:rPr>
        <w:t>(b)</w:t>
      </w:r>
      <w:r w:rsidR="00AB3073" w:rsidRPr="00C02CB8">
        <w:rPr>
          <w:rFonts w:cs="Calibri"/>
        </w:rPr>
        <w:t xml:space="preserve">. </w:t>
      </w:r>
      <w:r w:rsidR="00AB3073" w:rsidRPr="00C02CB8">
        <w:rPr>
          <w:rFonts w:cs="Calibri"/>
          <w:b/>
        </w:rPr>
        <w:t>(</w:t>
      </w:r>
      <w:r w:rsidR="005273C3" w:rsidRPr="00C02CB8">
        <w:rPr>
          <w:rFonts w:cs="Calibri"/>
          <w:b/>
        </w:rPr>
        <w:t>c</w:t>
      </w:r>
      <w:r w:rsidR="00AB3073" w:rsidRPr="00C02CB8">
        <w:rPr>
          <w:rFonts w:cs="Calibri"/>
          <w:b/>
        </w:rPr>
        <w:t>)</w:t>
      </w:r>
      <w:r w:rsidR="00AB3073" w:rsidRPr="00C02CB8">
        <w:rPr>
          <w:rFonts w:cs="Calibri"/>
        </w:rPr>
        <w:t xml:space="preserve"> Internalized Tf</w:t>
      </w:r>
      <w:r w:rsidR="00AB3073" w:rsidRPr="00C02CB8">
        <w:rPr>
          <w:rFonts w:cs="Calibri"/>
        </w:rPr>
        <w:noBreakHyphen/>
      </w:r>
      <w:r w:rsidRPr="00C02CB8">
        <w:rPr>
          <w:rFonts w:cs="Calibri"/>
        </w:rPr>
        <w:t>647 signal intensities (mean ± SEM) after temperature shift for subsequent time points</w:t>
      </w:r>
      <w:r w:rsidR="00E25FCB" w:rsidRPr="00C02CB8">
        <w:rPr>
          <w:rFonts w:cs="Calibri"/>
          <w:sz w:val="24"/>
          <w:szCs w:val="24"/>
        </w:rPr>
        <w:t xml:space="preserve"> were determined by FACS</w:t>
      </w:r>
      <w:r w:rsidRPr="00C02CB8">
        <w:rPr>
          <w:rFonts w:cs="Calibri"/>
        </w:rPr>
        <w:t xml:space="preserve">. </w:t>
      </w:r>
      <w:r w:rsidRPr="00C02CB8">
        <w:rPr>
          <w:rFonts w:cs="Calibri"/>
          <w:b/>
        </w:rPr>
        <w:t>(</w:t>
      </w:r>
      <w:r w:rsidR="005273C3" w:rsidRPr="00C02CB8">
        <w:rPr>
          <w:rFonts w:cs="Calibri"/>
          <w:b/>
        </w:rPr>
        <w:t>d</w:t>
      </w:r>
      <w:r w:rsidRPr="00C02CB8">
        <w:rPr>
          <w:rFonts w:cs="Calibri"/>
          <w:b/>
        </w:rPr>
        <w:t>)</w:t>
      </w:r>
      <w:r w:rsidRPr="00C02CB8">
        <w:rPr>
          <w:rFonts w:cs="Calibri"/>
        </w:rPr>
        <w:t xml:space="preserve"> Ratio of internalized to surface abu</w:t>
      </w:r>
      <w:r w:rsidR="00AB3073" w:rsidRPr="00C02CB8">
        <w:rPr>
          <w:rFonts w:cs="Calibri"/>
        </w:rPr>
        <w:t>ndance</w:t>
      </w:r>
      <w:r w:rsidR="00AB3073" w:rsidRPr="00C02CB8">
        <w:rPr>
          <w:sz w:val="24"/>
          <w:szCs w:val="24"/>
        </w:rPr>
        <w:t xml:space="preserve"> signal intensities of Tf</w:t>
      </w:r>
      <w:r w:rsidR="00AB3073" w:rsidRPr="00C02CB8">
        <w:rPr>
          <w:sz w:val="24"/>
          <w:szCs w:val="24"/>
        </w:rPr>
        <w:noBreakHyphen/>
      </w:r>
      <w:r w:rsidRPr="00C02CB8">
        <w:rPr>
          <w:sz w:val="24"/>
          <w:szCs w:val="24"/>
        </w:rPr>
        <w:t xml:space="preserve">647 (mean ± SEM). </w:t>
      </w:r>
      <w:r w:rsidRPr="00C02CB8">
        <w:rPr>
          <w:b/>
          <w:sz w:val="24"/>
          <w:szCs w:val="24"/>
        </w:rPr>
        <w:t>(</w:t>
      </w:r>
      <w:r w:rsidR="005273C3" w:rsidRPr="00C02CB8">
        <w:rPr>
          <w:b/>
          <w:sz w:val="24"/>
          <w:szCs w:val="24"/>
        </w:rPr>
        <w:t>e</w:t>
      </w:r>
      <w:r w:rsidRPr="00C02CB8">
        <w:rPr>
          <w:b/>
          <w:sz w:val="24"/>
          <w:szCs w:val="24"/>
        </w:rPr>
        <w:t>)</w:t>
      </w:r>
      <w:r w:rsidRPr="00C02CB8">
        <w:rPr>
          <w:sz w:val="24"/>
          <w:szCs w:val="24"/>
        </w:rPr>
        <w:t xml:space="preserve"> Integrated pH-sensitive signal intensities </w:t>
      </w:r>
      <w:r w:rsidR="00AB3073" w:rsidRPr="00C02CB8">
        <w:rPr>
          <w:sz w:val="24"/>
          <w:szCs w:val="24"/>
        </w:rPr>
        <w:t>(mean ± SEM) of internalized pH</w:t>
      </w:r>
      <w:r w:rsidR="00AB3073" w:rsidRPr="00C02CB8">
        <w:rPr>
          <w:sz w:val="24"/>
          <w:szCs w:val="24"/>
        </w:rPr>
        <w:noBreakHyphen/>
      </w:r>
      <w:r w:rsidRPr="00C02CB8">
        <w:rPr>
          <w:sz w:val="24"/>
          <w:szCs w:val="24"/>
        </w:rPr>
        <w:t xml:space="preserve">Tf over time. </w:t>
      </w:r>
      <w:r w:rsidRPr="00C02CB8">
        <w:rPr>
          <w:b/>
          <w:sz w:val="24"/>
          <w:szCs w:val="24"/>
        </w:rPr>
        <w:t>(</w:t>
      </w:r>
      <w:r w:rsidR="005273C3" w:rsidRPr="00C02CB8">
        <w:rPr>
          <w:b/>
          <w:sz w:val="24"/>
          <w:szCs w:val="24"/>
        </w:rPr>
        <w:t>f</w:t>
      </w:r>
      <w:r w:rsidRPr="00C02CB8">
        <w:rPr>
          <w:b/>
          <w:sz w:val="24"/>
          <w:szCs w:val="24"/>
        </w:rPr>
        <w:t>)</w:t>
      </w:r>
      <w:r w:rsidRPr="00C02CB8">
        <w:rPr>
          <w:sz w:val="24"/>
          <w:szCs w:val="24"/>
        </w:rPr>
        <w:t xml:space="preserve"> Protein level of TfR in SW480 cells with modulated MACC1 expression before and after stimulatio</w:t>
      </w:r>
      <w:r w:rsidR="00AB3073" w:rsidRPr="00C02CB8">
        <w:rPr>
          <w:sz w:val="24"/>
          <w:szCs w:val="24"/>
        </w:rPr>
        <w:t>n of TfR internalization with h</w:t>
      </w:r>
      <w:r w:rsidR="00AB3073" w:rsidRPr="00C02CB8">
        <w:rPr>
          <w:sz w:val="24"/>
          <w:szCs w:val="24"/>
        </w:rPr>
        <w:noBreakHyphen/>
      </w:r>
      <w:r w:rsidRPr="00C02CB8">
        <w:rPr>
          <w:sz w:val="24"/>
          <w:szCs w:val="24"/>
        </w:rPr>
        <w:t>Tf a</w:t>
      </w:r>
      <w:r w:rsidR="00AB3073" w:rsidRPr="00C02CB8">
        <w:rPr>
          <w:sz w:val="24"/>
          <w:szCs w:val="24"/>
        </w:rPr>
        <w:t>t indicated time points, with β</w:t>
      </w:r>
      <w:r w:rsidR="00AB3073" w:rsidRPr="00C02CB8">
        <w:rPr>
          <w:sz w:val="24"/>
          <w:szCs w:val="24"/>
        </w:rPr>
        <w:noBreakHyphen/>
      </w:r>
      <w:r w:rsidRPr="00C02CB8">
        <w:rPr>
          <w:sz w:val="24"/>
          <w:szCs w:val="24"/>
        </w:rPr>
        <w:t xml:space="preserve">actin as loading control. </w:t>
      </w:r>
      <w:r w:rsidRPr="00C02CB8">
        <w:rPr>
          <w:b/>
          <w:sz w:val="24"/>
          <w:szCs w:val="24"/>
        </w:rPr>
        <w:t>(</w:t>
      </w:r>
      <w:r w:rsidR="005273C3" w:rsidRPr="00C02CB8">
        <w:rPr>
          <w:b/>
          <w:sz w:val="24"/>
          <w:szCs w:val="24"/>
        </w:rPr>
        <w:t>g</w:t>
      </w:r>
      <w:r w:rsidRPr="00C02CB8">
        <w:rPr>
          <w:b/>
          <w:sz w:val="24"/>
          <w:szCs w:val="24"/>
        </w:rPr>
        <w:t>)</w:t>
      </w:r>
      <w:r w:rsidRPr="00C02CB8">
        <w:rPr>
          <w:sz w:val="24"/>
          <w:szCs w:val="24"/>
        </w:rPr>
        <w:t xml:space="preserve"> Changes in</w:t>
      </w:r>
      <w:r w:rsidR="00AB3073" w:rsidRPr="00C02CB8">
        <w:rPr>
          <w:sz w:val="24"/>
          <w:szCs w:val="24"/>
        </w:rPr>
        <w:t xml:space="preserve"> TfR/β actin ratio level upon h</w:t>
      </w:r>
      <w:r w:rsidR="00AB3073" w:rsidRPr="00C02CB8">
        <w:rPr>
          <w:sz w:val="24"/>
          <w:szCs w:val="24"/>
        </w:rPr>
        <w:noBreakHyphen/>
      </w:r>
      <w:r w:rsidRPr="00C02CB8">
        <w:rPr>
          <w:sz w:val="24"/>
          <w:szCs w:val="24"/>
        </w:rPr>
        <w:t>Tf stimulation, after quantification of WB signal intensities and normalization to t</w:t>
      </w:r>
      <w:r w:rsidR="00AB3073" w:rsidRPr="00C02CB8">
        <w:rPr>
          <w:sz w:val="24"/>
          <w:szCs w:val="24"/>
        </w:rPr>
        <w:t xml:space="preserve"> </w:t>
      </w:r>
      <w:r w:rsidRPr="00C02CB8">
        <w:rPr>
          <w:sz w:val="24"/>
          <w:szCs w:val="24"/>
        </w:rPr>
        <w:t>=</w:t>
      </w:r>
      <w:r w:rsidR="00AB3073" w:rsidRPr="00C02CB8">
        <w:rPr>
          <w:sz w:val="24"/>
          <w:szCs w:val="24"/>
        </w:rPr>
        <w:t xml:space="preserve"> </w:t>
      </w:r>
      <w:r w:rsidRPr="00C02CB8">
        <w:rPr>
          <w:sz w:val="24"/>
          <w:szCs w:val="24"/>
        </w:rPr>
        <w:t xml:space="preserve">0 min. </w:t>
      </w:r>
      <w:r w:rsidRPr="00C02CB8">
        <w:rPr>
          <w:b/>
          <w:sz w:val="24"/>
          <w:szCs w:val="24"/>
        </w:rPr>
        <w:t>(</w:t>
      </w:r>
      <w:r w:rsidR="005273C3" w:rsidRPr="00C02CB8">
        <w:rPr>
          <w:b/>
          <w:sz w:val="24"/>
          <w:szCs w:val="24"/>
        </w:rPr>
        <w:t>h</w:t>
      </w:r>
      <w:r w:rsidRPr="00C02CB8">
        <w:rPr>
          <w:b/>
          <w:sz w:val="24"/>
          <w:szCs w:val="24"/>
        </w:rPr>
        <w:t>)</w:t>
      </w:r>
      <w:r w:rsidRPr="00C02CB8">
        <w:rPr>
          <w:sz w:val="24"/>
          <w:szCs w:val="24"/>
        </w:rPr>
        <w:t xml:space="preserve"> Protein level of TfR in SW480 cells with modulated MACC1 expression, pre-treated with bafilomycin A1, before and after stimulatio</w:t>
      </w:r>
      <w:r w:rsidR="00AB3073" w:rsidRPr="00C02CB8">
        <w:rPr>
          <w:sz w:val="24"/>
          <w:szCs w:val="24"/>
        </w:rPr>
        <w:t>n of TfR internalization with h</w:t>
      </w:r>
      <w:r w:rsidR="00AB3073" w:rsidRPr="00C02CB8">
        <w:rPr>
          <w:sz w:val="24"/>
          <w:szCs w:val="24"/>
        </w:rPr>
        <w:noBreakHyphen/>
      </w:r>
      <w:r w:rsidRPr="00C02CB8">
        <w:rPr>
          <w:sz w:val="24"/>
          <w:szCs w:val="24"/>
        </w:rPr>
        <w:t xml:space="preserve">Tf at indicated time points, with β actin as loading control. </w:t>
      </w:r>
      <w:r w:rsidRPr="00C02CB8">
        <w:rPr>
          <w:b/>
          <w:sz w:val="24"/>
          <w:szCs w:val="24"/>
        </w:rPr>
        <w:t>(</w:t>
      </w:r>
      <w:r w:rsidR="005273C3" w:rsidRPr="00C02CB8">
        <w:rPr>
          <w:b/>
          <w:sz w:val="24"/>
          <w:szCs w:val="24"/>
        </w:rPr>
        <w:t>i</w:t>
      </w:r>
      <w:r w:rsidRPr="00C02CB8">
        <w:rPr>
          <w:b/>
          <w:sz w:val="24"/>
          <w:szCs w:val="24"/>
        </w:rPr>
        <w:t>)</w:t>
      </w:r>
      <w:r w:rsidRPr="00C02CB8">
        <w:rPr>
          <w:sz w:val="24"/>
          <w:szCs w:val="24"/>
        </w:rPr>
        <w:t xml:space="preserve"> Changes in TfR/</w:t>
      </w:r>
      <w:r w:rsidR="005273C3" w:rsidRPr="00C02CB8">
        <w:rPr>
          <w:sz w:val="24"/>
          <w:szCs w:val="24"/>
        </w:rPr>
        <w:t>β</w:t>
      </w:r>
      <w:r w:rsidR="005273C3" w:rsidRPr="00C02CB8">
        <w:rPr>
          <w:sz w:val="24"/>
          <w:szCs w:val="24"/>
        </w:rPr>
        <w:noBreakHyphen/>
      </w:r>
      <w:r w:rsidRPr="00C02CB8">
        <w:rPr>
          <w:sz w:val="24"/>
          <w:szCs w:val="24"/>
        </w:rPr>
        <w:t>actin ratio level in cells pre-trea</w:t>
      </w:r>
      <w:r w:rsidR="00AB3073" w:rsidRPr="00C02CB8">
        <w:rPr>
          <w:sz w:val="24"/>
          <w:szCs w:val="24"/>
        </w:rPr>
        <w:t>ted with bafilomycin A1, upon h</w:t>
      </w:r>
      <w:r w:rsidR="00AB3073" w:rsidRPr="00C02CB8">
        <w:rPr>
          <w:sz w:val="24"/>
          <w:szCs w:val="24"/>
        </w:rPr>
        <w:noBreakHyphen/>
      </w:r>
      <w:r w:rsidRPr="00C02CB8">
        <w:rPr>
          <w:sz w:val="24"/>
          <w:szCs w:val="24"/>
        </w:rPr>
        <w:t>Tf stimulation and after quantification of WB signal intensities and normalization to t</w:t>
      </w:r>
      <w:r w:rsidR="00AB3073" w:rsidRPr="00C02CB8">
        <w:rPr>
          <w:sz w:val="24"/>
          <w:szCs w:val="24"/>
        </w:rPr>
        <w:t xml:space="preserve"> </w:t>
      </w:r>
      <w:r w:rsidRPr="00C02CB8">
        <w:rPr>
          <w:sz w:val="24"/>
          <w:szCs w:val="24"/>
        </w:rPr>
        <w:t>=</w:t>
      </w:r>
      <w:r w:rsidR="00AB3073" w:rsidRPr="00C02CB8">
        <w:rPr>
          <w:sz w:val="24"/>
          <w:szCs w:val="24"/>
        </w:rPr>
        <w:t xml:space="preserve"> </w:t>
      </w:r>
      <w:r w:rsidRPr="00C02CB8">
        <w:rPr>
          <w:sz w:val="24"/>
          <w:szCs w:val="24"/>
        </w:rPr>
        <w:t xml:space="preserve">0 min. </w:t>
      </w:r>
    </w:p>
    <w:p w:rsidR="009D7332" w:rsidRPr="00C02CB8" w:rsidRDefault="009D7332" w:rsidP="00AB3073">
      <w:pPr>
        <w:spacing w:after="0" w:line="360" w:lineRule="auto"/>
        <w:jc w:val="both"/>
        <w:rPr>
          <w:sz w:val="24"/>
          <w:szCs w:val="24"/>
        </w:rPr>
      </w:pPr>
      <w:r w:rsidRPr="00C02CB8">
        <w:rPr>
          <w:sz w:val="24"/>
          <w:szCs w:val="24"/>
        </w:rPr>
        <w:t>MFI – mean fluorescence intensity; CU – confluency units; all experiments were performed three times independently, with ANOVA as statistical analysis, * p &lt; 0.05, ** p &lt; 0.01, *** p &lt; 0.001</w:t>
      </w:r>
    </w:p>
    <w:p w:rsidR="00145AD7" w:rsidRPr="00C02CB8" w:rsidRDefault="00145AD7">
      <w:pPr>
        <w:spacing w:after="0" w:line="240" w:lineRule="auto"/>
        <w:rPr>
          <w:sz w:val="24"/>
          <w:szCs w:val="24"/>
        </w:rPr>
      </w:pPr>
      <w:r w:rsidRPr="00C02CB8">
        <w:rPr>
          <w:sz w:val="24"/>
          <w:szCs w:val="24"/>
        </w:rPr>
        <w:br w:type="page"/>
      </w:r>
    </w:p>
    <w:p w:rsidR="009D7332" w:rsidRPr="00C02CB8" w:rsidRDefault="00137E21" w:rsidP="00AB3073">
      <w:pPr>
        <w:spacing w:after="0" w:line="360" w:lineRule="auto"/>
        <w:jc w:val="both"/>
        <w:rPr>
          <w:sz w:val="24"/>
          <w:szCs w:val="24"/>
        </w:rPr>
      </w:pPr>
      <w:r w:rsidRPr="00C02CB8">
        <w:rPr>
          <w:noProof/>
          <w:lang w:val="en-IN" w:eastAsia="en-IN"/>
        </w:rPr>
        <w:drawing>
          <wp:inline distT="0" distB="0" distL="0" distR="0" wp14:anchorId="30C25AF1" wp14:editId="2B2791DD">
            <wp:extent cx="3830400" cy="8640000"/>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30400" cy="8640000"/>
                    </a:xfrm>
                    <a:prstGeom prst="rect">
                      <a:avLst/>
                    </a:prstGeom>
                    <a:noFill/>
                    <a:ln>
                      <a:noFill/>
                    </a:ln>
                  </pic:spPr>
                </pic:pic>
              </a:graphicData>
            </a:graphic>
          </wp:inline>
        </w:drawing>
      </w:r>
    </w:p>
    <w:p w:rsidR="00145AD7" w:rsidRPr="00C02CB8" w:rsidRDefault="00145AD7">
      <w:pPr>
        <w:spacing w:after="0" w:line="240" w:lineRule="auto"/>
        <w:rPr>
          <w:sz w:val="24"/>
          <w:szCs w:val="24"/>
        </w:rPr>
      </w:pPr>
    </w:p>
    <w:p w:rsidR="009D7332" w:rsidRPr="00C02CB8" w:rsidRDefault="009D7332" w:rsidP="00AB3073">
      <w:pPr>
        <w:spacing w:after="0" w:line="360" w:lineRule="auto"/>
        <w:jc w:val="both"/>
        <w:rPr>
          <w:b/>
          <w:sz w:val="24"/>
          <w:szCs w:val="24"/>
        </w:rPr>
      </w:pPr>
      <w:r w:rsidRPr="00C02CB8">
        <w:rPr>
          <w:b/>
          <w:sz w:val="24"/>
          <w:szCs w:val="24"/>
        </w:rPr>
        <w:t>Figure S4: Single channel images of the co-localization of TfR with Rab11, LAMP1 and EEA1, and triple staining of MACC1, EEA1 and Tf</w:t>
      </w:r>
    </w:p>
    <w:p w:rsidR="009D7332" w:rsidRPr="00C02CB8" w:rsidRDefault="009D7332" w:rsidP="00AB3073">
      <w:pPr>
        <w:spacing w:after="0" w:line="360" w:lineRule="auto"/>
        <w:jc w:val="both"/>
        <w:rPr>
          <w:sz w:val="24"/>
          <w:szCs w:val="24"/>
        </w:rPr>
      </w:pPr>
      <w:r w:rsidRPr="00C02CB8">
        <w:rPr>
          <w:b/>
          <w:sz w:val="24"/>
          <w:szCs w:val="24"/>
        </w:rPr>
        <w:t>(</w:t>
      </w:r>
      <w:r w:rsidR="005273C3" w:rsidRPr="00C02CB8">
        <w:rPr>
          <w:b/>
          <w:sz w:val="24"/>
          <w:szCs w:val="24"/>
        </w:rPr>
        <w:t>a-c</w:t>
      </w:r>
      <w:r w:rsidRPr="00C02CB8">
        <w:rPr>
          <w:b/>
          <w:sz w:val="24"/>
          <w:szCs w:val="24"/>
        </w:rPr>
        <w:t>)</w:t>
      </w:r>
      <w:r w:rsidRPr="00C02CB8">
        <w:rPr>
          <w:sz w:val="24"/>
          <w:szCs w:val="24"/>
        </w:rPr>
        <w:t xml:space="preserve"> Co-localization of TfR and Rab11</w:t>
      </w:r>
      <w:r w:rsidR="009D7B8E" w:rsidRPr="00C02CB8">
        <w:rPr>
          <w:sz w:val="24"/>
          <w:szCs w:val="24"/>
        </w:rPr>
        <w:t xml:space="preserve"> </w:t>
      </w:r>
      <w:r w:rsidRPr="00C02CB8">
        <w:rPr>
          <w:b/>
          <w:sz w:val="24"/>
          <w:szCs w:val="24"/>
        </w:rPr>
        <w:t>(</w:t>
      </w:r>
      <w:r w:rsidR="005273C3" w:rsidRPr="00C02CB8">
        <w:rPr>
          <w:b/>
          <w:sz w:val="24"/>
          <w:szCs w:val="24"/>
        </w:rPr>
        <w:t>a</w:t>
      </w:r>
      <w:r w:rsidRPr="00C02CB8">
        <w:rPr>
          <w:b/>
          <w:sz w:val="24"/>
          <w:szCs w:val="24"/>
        </w:rPr>
        <w:t>)</w:t>
      </w:r>
      <w:r w:rsidRPr="00C02CB8">
        <w:rPr>
          <w:sz w:val="24"/>
          <w:szCs w:val="24"/>
        </w:rPr>
        <w:t xml:space="preserve">, LAMP1 </w:t>
      </w:r>
      <w:r w:rsidRPr="00C02CB8">
        <w:rPr>
          <w:b/>
          <w:sz w:val="24"/>
          <w:szCs w:val="24"/>
        </w:rPr>
        <w:t>(</w:t>
      </w:r>
      <w:r w:rsidR="005273C3" w:rsidRPr="00C02CB8">
        <w:rPr>
          <w:b/>
          <w:sz w:val="24"/>
          <w:szCs w:val="24"/>
        </w:rPr>
        <w:t>b</w:t>
      </w:r>
      <w:r w:rsidRPr="00C02CB8">
        <w:rPr>
          <w:b/>
          <w:sz w:val="24"/>
          <w:szCs w:val="24"/>
        </w:rPr>
        <w:t>)</w:t>
      </w:r>
      <w:r w:rsidRPr="00C02CB8">
        <w:rPr>
          <w:sz w:val="24"/>
          <w:szCs w:val="24"/>
        </w:rPr>
        <w:t xml:space="preserve"> and EEA1 </w:t>
      </w:r>
      <w:r w:rsidRPr="00C02CB8">
        <w:rPr>
          <w:b/>
          <w:sz w:val="24"/>
          <w:szCs w:val="24"/>
        </w:rPr>
        <w:t>(</w:t>
      </w:r>
      <w:r w:rsidR="005273C3" w:rsidRPr="00C02CB8">
        <w:rPr>
          <w:b/>
          <w:sz w:val="24"/>
          <w:szCs w:val="24"/>
        </w:rPr>
        <w:t>c</w:t>
      </w:r>
      <w:r w:rsidRPr="00C02CB8">
        <w:rPr>
          <w:b/>
          <w:sz w:val="24"/>
          <w:szCs w:val="24"/>
        </w:rPr>
        <w:t>)</w:t>
      </w:r>
      <w:r w:rsidRPr="00C02CB8">
        <w:rPr>
          <w:sz w:val="24"/>
          <w:szCs w:val="24"/>
        </w:rPr>
        <w:t xml:space="preserve"> in SW480/e.v. and SW480/MACC1 cells after 15 min stimulation of TfR internalization with h</w:t>
      </w:r>
      <w:r w:rsidR="009D7B8E" w:rsidRPr="00C02CB8">
        <w:rPr>
          <w:sz w:val="24"/>
          <w:szCs w:val="24"/>
        </w:rPr>
        <w:noBreakHyphen/>
      </w:r>
      <w:r w:rsidRPr="00C02CB8">
        <w:rPr>
          <w:sz w:val="24"/>
          <w:szCs w:val="24"/>
        </w:rPr>
        <w:t>Tf. Nuclei were stained with DAPI. Scale bar =</w:t>
      </w:r>
      <w:r w:rsidR="008C0BAC" w:rsidRPr="00C02CB8">
        <w:rPr>
          <w:sz w:val="24"/>
          <w:szCs w:val="24"/>
        </w:rPr>
        <w:t> </w:t>
      </w:r>
      <w:r w:rsidRPr="00C02CB8">
        <w:rPr>
          <w:sz w:val="24"/>
          <w:szCs w:val="24"/>
        </w:rPr>
        <w:t>10</w:t>
      </w:r>
      <w:r w:rsidR="008C0BAC" w:rsidRPr="00C02CB8">
        <w:rPr>
          <w:sz w:val="24"/>
          <w:szCs w:val="24"/>
        </w:rPr>
        <w:t> </w:t>
      </w:r>
      <w:r w:rsidRPr="00C02CB8">
        <w:rPr>
          <w:sz w:val="24"/>
          <w:szCs w:val="24"/>
        </w:rPr>
        <w:t xml:space="preserve">µm. </w:t>
      </w:r>
      <w:r w:rsidRPr="00C02CB8">
        <w:rPr>
          <w:b/>
          <w:sz w:val="24"/>
          <w:szCs w:val="24"/>
        </w:rPr>
        <w:t>(</w:t>
      </w:r>
      <w:r w:rsidR="005273C3" w:rsidRPr="00C02CB8">
        <w:rPr>
          <w:b/>
          <w:sz w:val="24"/>
          <w:szCs w:val="24"/>
        </w:rPr>
        <w:t>d</w:t>
      </w:r>
      <w:r w:rsidRPr="00C02CB8">
        <w:rPr>
          <w:b/>
          <w:sz w:val="24"/>
          <w:szCs w:val="24"/>
        </w:rPr>
        <w:t>)</w:t>
      </w:r>
      <w:r w:rsidRPr="00C02CB8">
        <w:rPr>
          <w:sz w:val="24"/>
          <w:szCs w:val="24"/>
        </w:rPr>
        <w:t xml:space="preserve"> Co-localization of MACC1, EEA1 and Tf after triple-staining of SW480/MACC1</w:t>
      </w:r>
      <w:r w:rsidR="009D7B8E" w:rsidRPr="00C02CB8">
        <w:rPr>
          <w:sz w:val="24"/>
          <w:szCs w:val="24"/>
        </w:rPr>
        <w:noBreakHyphen/>
      </w:r>
      <w:r w:rsidRPr="00C02CB8">
        <w:rPr>
          <w:sz w:val="24"/>
          <w:szCs w:val="24"/>
        </w:rPr>
        <w:t>GFP and SW480/MACC1ΔSH3</w:t>
      </w:r>
      <w:r w:rsidR="009D7B8E" w:rsidRPr="00C02CB8">
        <w:rPr>
          <w:sz w:val="24"/>
          <w:szCs w:val="24"/>
        </w:rPr>
        <w:noBreakHyphen/>
      </w:r>
      <w:r w:rsidRPr="00C02CB8">
        <w:rPr>
          <w:sz w:val="24"/>
          <w:szCs w:val="24"/>
        </w:rPr>
        <w:t>GFP cells after 15 min stimulation of TfR internalization with Tf</w:t>
      </w:r>
      <w:r w:rsidR="009D7B8E" w:rsidRPr="00C02CB8">
        <w:rPr>
          <w:sz w:val="24"/>
          <w:szCs w:val="24"/>
        </w:rPr>
        <w:noBreakHyphen/>
      </w:r>
      <w:r w:rsidRPr="00C02CB8">
        <w:rPr>
          <w:sz w:val="24"/>
          <w:szCs w:val="24"/>
        </w:rPr>
        <w:t>647. Nuclei were stained with DAPI. Scale bar =</w:t>
      </w:r>
      <w:r w:rsidR="008C0BAC" w:rsidRPr="00C02CB8">
        <w:rPr>
          <w:sz w:val="24"/>
          <w:szCs w:val="24"/>
        </w:rPr>
        <w:t> </w:t>
      </w:r>
      <w:r w:rsidRPr="00C02CB8">
        <w:rPr>
          <w:sz w:val="24"/>
          <w:szCs w:val="24"/>
        </w:rPr>
        <w:t>10</w:t>
      </w:r>
      <w:r w:rsidR="008C0BAC" w:rsidRPr="00C02CB8">
        <w:rPr>
          <w:sz w:val="24"/>
          <w:szCs w:val="24"/>
        </w:rPr>
        <w:t> </w:t>
      </w:r>
      <w:r w:rsidRPr="00C02CB8">
        <w:rPr>
          <w:sz w:val="24"/>
          <w:szCs w:val="24"/>
        </w:rPr>
        <w:t>µm.</w:t>
      </w:r>
    </w:p>
    <w:p w:rsidR="008C0BAC" w:rsidRPr="00C02CB8" w:rsidRDefault="009D7332" w:rsidP="00AB3073">
      <w:pPr>
        <w:spacing w:after="0" w:line="360" w:lineRule="auto"/>
        <w:jc w:val="both"/>
        <w:rPr>
          <w:sz w:val="24"/>
          <w:szCs w:val="24"/>
        </w:rPr>
      </w:pPr>
      <w:r w:rsidRPr="00C02CB8">
        <w:rPr>
          <w:sz w:val="24"/>
          <w:szCs w:val="24"/>
        </w:rPr>
        <w:t>Rab11 – Ras-related protein Rab11; TfR – transferrin receptor 1; LAMP1 - lysosomal associated membrane protein 1; EEA1 –early endosome antigen 1</w:t>
      </w:r>
    </w:p>
    <w:p w:rsidR="00842AD2" w:rsidRPr="00C02CB8" w:rsidRDefault="008C0BAC" w:rsidP="008C0BAC">
      <w:pPr>
        <w:spacing w:after="0" w:line="240" w:lineRule="auto"/>
        <w:rPr>
          <w:sz w:val="24"/>
          <w:szCs w:val="24"/>
        </w:rPr>
      </w:pPr>
      <w:r w:rsidRPr="00C02CB8">
        <w:rPr>
          <w:sz w:val="24"/>
          <w:szCs w:val="24"/>
        </w:rPr>
        <w:br w:type="page"/>
      </w:r>
    </w:p>
    <w:p w:rsidR="00EB7566" w:rsidRPr="00C02CB8" w:rsidRDefault="00137E21" w:rsidP="00AB3073">
      <w:pPr>
        <w:spacing w:after="0" w:line="360" w:lineRule="auto"/>
        <w:jc w:val="both"/>
        <w:rPr>
          <w:rFonts w:cs="Calibri"/>
          <w:b/>
          <w:sz w:val="24"/>
          <w:szCs w:val="24"/>
        </w:rPr>
      </w:pPr>
      <w:r w:rsidRPr="00C02CB8">
        <w:rPr>
          <w:noProof/>
          <w:lang w:val="en-IN" w:eastAsia="en-IN"/>
        </w:rPr>
        <w:drawing>
          <wp:inline distT="0" distB="0" distL="0" distR="0" wp14:anchorId="28139B9C" wp14:editId="13457EB9">
            <wp:extent cx="4125600" cy="8640000"/>
            <wp:effectExtent l="0" t="0" r="8255" b="889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5600" cy="8640000"/>
                    </a:xfrm>
                    <a:prstGeom prst="rect">
                      <a:avLst/>
                    </a:prstGeom>
                    <a:noFill/>
                    <a:ln>
                      <a:noFill/>
                    </a:ln>
                  </pic:spPr>
                </pic:pic>
              </a:graphicData>
            </a:graphic>
          </wp:inline>
        </w:drawing>
      </w:r>
    </w:p>
    <w:p w:rsidR="00145AD7" w:rsidRPr="00C02CB8" w:rsidRDefault="00145AD7">
      <w:pPr>
        <w:spacing w:after="0" w:line="240" w:lineRule="auto"/>
        <w:rPr>
          <w:rFonts w:cs="Calibri"/>
          <w:b/>
          <w:sz w:val="24"/>
          <w:szCs w:val="24"/>
        </w:rPr>
      </w:pPr>
      <w:r w:rsidRPr="00C02CB8">
        <w:rPr>
          <w:rFonts w:cs="Calibri"/>
          <w:b/>
          <w:sz w:val="24"/>
          <w:szCs w:val="24"/>
        </w:rPr>
        <w:br w:type="page"/>
      </w:r>
    </w:p>
    <w:p w:rsidR="009D7332" w:rsidRPr="00C02CB8" w:rsidRDefault="009D7332" w:rsidP="00AB3073">
      <w:pPr>
        <w:spacing w:after="0" w:line="360" w:lineRule="auto"/>
        <w:jc w:val="both"/>
        <w:rPr>
          <w:rFonts w:cs="Calibri"/>
          <w:sz w:val="24"/>
          <w:szCs w:val="24"/>
        </w:rPr>
      </w:pPr>
      <w:r w:rsidRPr="00C02CB8">
        <w:rPr>
          <w:rFonts w:cs="Calibri"/>
          <w:b/>
          <w:sz w:val="24"/>
          <w:szCs w:val="24"/>
        </w:rPr>
        <w:t xml:space="preserve">Figure </w:t>
      </w:r>
      <w:r w:rsidR="005A306F" w:rsidRPr="00C02CB8">
        <w:rPr>
          <w:rFonts w:cs="Calibri"/>
          <w:b/>
          <w:sz w:val="24"/>
          <w:szCs w:val="24"/>
        </w:rPr>
        <w:t>S</w:t>
      </w:r>
      <w:r w:rsidRPr="00C02CB8">
        <w:rPr>
          <w:rFonts w:cs="Calibri"/>
          <w:b/>
          <w:sz w:val="24"/>
          <w:szCs w:val="24"/>
        </w:rPr>
        <w:t xml:space="preserve">5: </w:t>
      </w:r>
      <w:r w:rsidR="00EB7566" w:rsidRPr="00C02CB8">
        <w:rPr>
          <w:rFonts w:cs="Calibri"/>
          <w:b/>
          <w:sz w:val="24"/>
          <w:szCs w:val="24"/>
        </w:rPr>
        <w:t xml:space="preserve">Membrane localization of MACC1 deletion variants and </w:t>
      </w:r>
      <w:r w:rsidR="00EB7566" w:rsidRPr="00C02CB8">
        <w:rPr>
          <w:b/>
          <w:sz w:val="24"/>
          <w:szCs w:val="24"/>
        </w:rPr>
        <w:t>single channel images of the co-localization of TfR with CTLC and EGFR</w:t>
      </w:r>
    </w:p>
    <w:p w:rsidR="00EB7566" w:rsidRPr="00C02CB8" w:rsidRDefault="009D7332" w:rsidP="00AB3073">
      <w:pPr>
        <w:spacing w:after="0" w:line="360" w:lineRule="auto"/>
        <w:jc w:val="both"/>
        <w:rPr>
          <w:sz w:val="24"/>
          <w:szCs w:val="24"/>
        </w:rPr>
      </w:pPr>
      <w:r w:rsidRPr="00C02CB8">
        <w:rPr>
          <w:rFonts w:cs="Calibri"/>
          <w:b/>
          <w:sz w:val="24"/>
          <w:szCs w:val="24"/>
        </w:rPr>
        <w:t>(</w:t>
      </w:r>
      <w:r w:rsidR="00812F14" w:rsidRPr="00C02CB8">
        <w:rPr>
          <w:rFonts w:cs="Calibri"/>
          <w:b/>
          <w:sz w:val="24"/>
          <w:szCs w:val="24"/>
        </w:rPr>
        <w:t>a</w:t>
      </w:r>
      <w:r w:rsidRPr="00C02CB8">
        <w:rPr>
          <w:rFonts w:cs="Calibri"/>
          <w:b/>
          <w:sz w:val="24"/>
          <w:szCs w:val="24"/>
        </w:rPr>
        <w:t>)</w:t>
      </w:r>
      <w:r w:rsidRPr="00C02CB8">
        <w:rPr>
          <w:sz w:val="24"/>
          <w:szCs w:val="24"/>
        </w:rPr>
        <w:t xml:space="preserve"> Cellular distribution of MACC1</w:t>
      </w:r>
      <w:r w:rsidRPr="00C02CB8">
        <w:rPr>
          <w:sz w:val="24"/>
          <w:szCs w:val="24"/>
        </w:rPr>
        <w:noBreakHyphen/>
        <w:t xml:space="preserve">GFP and deletion variants by confocal fluorescence microscopy. Arrows indicate the plasma membrane. Nuclei were stained with DAPI. </w:t>
      </w:r>
      <w:r w:rsidR="00EB7566" w:rsidRPr="00C02CB8">
        <w:rPr>
          <w:b/>
          <w:sz w:val="24"/>
          <w:szCs w:val="24"/>
        </w:rPr>
        <w:t>(</w:t>
      </w:r>
      <w:r w:rsidR="00145AD7" w:rsidRPr="00C02CB8">
        <w:rPr>
          <w:b/>
          <w:sz w:val="24"/>
          <w:szCs w:val="24"/>
        </w:rPr>
        <w:t>b</w:t>
      </w:r>
      <w:r w:rsidR="00EB7566" w:rsidRPr="00C02CB8">
        <w:rPr>
          <w:b/>
          <w:sz w:val="24"/>
          <w:szCs w:val="24"/>
        </w:rPr>
        <w:t>)</w:t>
      </w:r>
      <w:r w:rsidR="00EB7566" w:rsidRPr="00C02CB8">
        <w:rPr>
          <w:sz w:val="24"/>
          <w:szCs w:val="24"/>
        </w:rPr>
        <w:t xml:space="preserve"> Co-localization of TfR, CLTC and EGFR after triple-staining and 8 min treatment with 20 ng/ml EGF, in SW480/e.v. and SW480/MACC1 cells and in the presence or absence of the dynamin inhibitor dynasore. Nuclei were stained with DAPI. Scale bar =</w:t>
      </w:r>
      <w:r w:rsidR="008C0BAC" w:rsidRPr="00C02CB8">
        <w:rPr>
          <w:sz w:val="24"/>
          <w:szCs w:val="24"/>
        </w:rPr>
        <w:t> </w:t>
      </w:r>
      <w:r w:rsidR="00EB7566" w:rsidRPr="00C02CB8">
        <w:rPr>
          <w:sz w:val="24"/>
          <w:szCs w:val="24"/>
        </w:rPr>
        <w:t>10</w:t>
      </w:r>
      <w:r w:rsidR="008C0BAC" w:rsidRPr="00C02CB8">
        <w:rPr>
          <w:sz w:val="24"/>
          <w:szCs w:val="24"/>
        </w:rPr>
        <w:t> </w:t>
      </w:r>
      <w:r w:rsidR="00EB7566" w:rsidRPr="00C02CB8">
        <w:rPr>
          <w:sz w:val="24"/>
          <w:szCs w:val="24"/>
        </w:rPr>
        <w:t>µm.</w:t>
      </w:r>
    </w:p>
    <w:p w:rsidR="008C0BAC" w:rsidRPr="00C02CB8" w:rsidRDefault="009D7332" w:rsidP="00AB3073">
      <w:pPr>
        <w:spacing w:after="0" w:line="360" w:lineRule="auto"/>
        <w:jc w:val="both"/>
        <w:rPr>
          <w:sz w:val="24"/>
          <w:szCs w:val="24"/>
        </w:rPr>
      </w:pPr>
      <w:r w:rsidRPr="00C02CB8">
        <w:rPr>
          <w:sz w:val="24"/>
          <w:szCs w:val="24"/>
        </w:rPr>
        <w:t>NPF – interaction motif for Eps15-homology domains; DPF - interaction motif for AP</w:t>
      </w:r>
      <w:r w:rsidRPr="00C02CB8">
        <w:rPr>
          <w:sz w:val="24"/>
          <w:szCs w:val="24"/>
        </w:rPr>
        <w:noBreakHyphen/>
        <w:t>2 complex; ZU5 – domain present in zona occludens 1 and uncoordinated</w:t>
      </w:r>
      <w:r w:rsidRPr="00C02CB8">
        <w:rPr>
          <w:sz w:val="24"/>
          <w:szCs w:val="24"/>
        </w:rPr>
        <w:noBreakHyphen/>
        <w:t>5; UPA – domain found in uncoordinated</w:t>
      </w:r>
      <w:r w:rsidRPr="00C02CB8">
        <w:rPr>
          <w:sz w:val="24"/>
          <w:szCs w:val="24"/>
        </w:rPr>
        <w:noBreakHyphen/>
        <w:t>5, p53-induced death domain protein 1 and ankyrins; SH3 – Src homology domain 3; DD – death domain</w:t>
      </w:r>
      <w:r w:rsidR="00EB7566" w:rsidRPr="00C02CB8">
        <w:rPr>
          <w:sz w:val="24"/>
          <w:szCs w:val="24"/>
        </w:rPr>
        <w:t xml:space="preserve">; </w:t>
      </w:r>
      <w:r w:rsidRPr="00C02CB8">
        <w:rPr>
          <w:sz w:val="24"/>
          <w:szCs w:val="24"/>
        </w:rPr>
        <w:t>TfR – transferrin receptor 1; CLTC – clathrin heavy chain 1; EGF/R – epidermal growth factor/receptor</w:t>
      </w:r>
      <w:r w:rsidR="00B32DF4" w:rsidRPr="00C02CB8">
        <w:rPr>
          <w:sz w:val="24"/>
          <w:szCs w:val="24"/>
        </w:rPr>
        <w:t>.</w:t>
      </w:r>
    </w:p>
    <w:p w:rsidR="008C0BAC" w:rsidRPr="00C02CB8" w:rsidRDefault="008C0BAC">
      <w:pPr>
        <w:spacing w:after="0" w:line="240" w:lineRule="auto"/>
        <w:rPr>
          <w:sz w:val="24"/>
          <w:szCs w:val="24"/>
        </w:rPr>
      </w:pPr>
      <w:r w:rsidRPr="00C02CB8">
        <w:rPr>
          <w:sz w:val="24"/>
          <w:szCs w:val="24"/>
        </w:rPr>
        <w:br w:type="page"/>
      </w:r>
    </w:p>
    <w:p w:rsidR="009D7332" w:rsidRPr="00C02CB8" w:rsidRDefault="008C0BAC" w:rsidP="00AB3073">
      <w:pPr>
        <w:spacing w:after="0" w:line="360" w:lineRule="auto"/>
        <w:jc w:val="both"/>
        <w:rPr>
          <w:sz w:val="24"/>
          <w:szCs w:val="24"/>
        </w:rPr>
      </w:pPr>
      <w:r w:rsidRPr="00C02CB8">
        <w:rPr>
          <w:noProof/>
          <w:sz w:val="24"/>
          <w:szCs w:val="24"/>
          <w:lang w:val="en-IN" w:eastAsia="en-IN"/>
        </w:rPr>
        <w:drawing>
          <wp:inline distT="0" distB="0" distL="0" distR="0" wp14:anchorId="6C1B4AE2" wp14:editId="6E14AB79">
            <wp:extent cx="5752800" cy="8640000"/>
            <wp:effectExtent l="0" t="0" r="635"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 CMLS 25-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2800" cy="8640000"/>
                    </a:xfrm>
                    <a:prstGeom prst="rect">
                      <a:avLst/>
                    </a:prstGeom>
                  </pic:spPr>
                </pic:pic>
              </a:graphicData>
            </a:graphic>
          </wp:inline>
        </w:drawing>
      </w:r>
    </w:p>
    <w:p w:rsidR="006E74E5" w:rsidRPr="00C02CB8" w:rsidRDefault="006E74E5">
      <w:pPr>
        <w:spacing w:after="0" w:line="240" w:lineRule="auto"/>
        <w:rPr>
          <w:sz w:val="24"/>
          <w:szCs w:val="24"/>
        </w:rPr>
      </w:pPr>
      <w:r w:rsidRPr="00C02CB8">
        <w:rPr>
          <w:sz w:val="24"/>
          <w:szCs w:val="24"/>
        </w:rPr>
        <w:br w:type="page"/>
      </w:r>
    </w:p>
    <w:p w:rsidR="008C0BAC" w:rsidRPr="00C02CB8" w:rsidRDefault="008C0BAC" w:rsidP="008C0BAC">
      <w:pPr>
        <w:spacing w:after="0" w:line="360" w:lineRule="auto"/>
        <w:jc w:val="both"/>
        <w:rPr>
          <w:b/>
          <w:sz w:val="24"/>
          <w:szCs w:val="24"/>
        </w:rPr>
      </w:pPr>
      <w:r w:rsidRPr="00C02CB8">
        <w:rPr>
          <w:b/>
          <w:sz w:val="24"/>
          <w:szCs w:val="24"/>
        </w:rPr>
        <w:t>Figure S6: Localization of EGF/EGFR protein complexes in dependency of functional MACC1</w:t>
      </w:r>
    </w:p>
    <w:p w:rsidR="006B56A2" w:rsidRPr="00C02CB8" w:rsidRDefault="008C0BAC" w:rsidP="006B56A2">
      <w:pPr>
        <w:spacing w:after="0" w:line="360" w:lineRule="auto"/>
        <w:jc w:val="both"/>
        <w:rPr>
          <w:sz w:val="24"/>
          <w:szCs w:val="24"/>
        </w:rPr>
      </w:pPr>
      <w:r w:rsidRPr="00C02CB8">
        <w:rPr>
          <w:b/>
          <w:sz w:val="24"/>
          <w:szCs w:val="24"/>
        </w:rPr>
        <w:t>(a-c)</w:t>
      </w:r>
      <w:r w:rsidRPr="00C02CB8">
        <w:rPr>
          <w:sz w:val="24"/>
          <w:szCs w:val="24"/>
        </w:rPr>
        <w:t xml:space="preserve"> Co-localization of EGF-647 and EEA1 </w:t>
      </w:r>
      <w:r w:rsidRPr="00C02CB8">
        <w:rPr>
          <w:b/>
          <w:sz w:val="24"/>
          <w:szCs w:val="24"/>
        </w:rPr>
        <w:t>(a)</w:t>
      </w:r>
      <w:r w:rsidRPr="00C02CB8">
        <w:rPr>
          <w:sz w:val="24"/>
          <w:szCs w:val="24"/>
        </w:rPr>
        <w:t xml:space="preserve"> LAMP1 </w:t>
      </w:r>
      <w:r w:rsidRPr="00C02CB8">
        <w:rPr>
          <w:b/>
          <w:sz w:val="24"/>
          <w:szCs w:val="24"/>
        </w:rPr>
        <w:t>(b)</w:t>
      </w:r>
      <w:r w:rsidRPr="00C02CB8">
        <w:rPr>
          <w:sz w:val="24"/>
          <w:szCs w:val="24"/>
        </w:rPr>
        <w:t xml:space="preserve"> or RAB11 </w:t>
      </w:r>
      <w:r w:rsidRPr="00C02CB8">
        <w:rPr>
          <w:b/>
          <w:sz w:val="24"/>
          <w:szCs w:val="24"/>
        </w:rPr>
        <w:t>(c)</w:t>
      </w:r>
      <w:r w:rsidRPr="00C02CB8">
        <w:rPr>
          <w:sz w:val="24"/>
          <w:szCs w:val="24"/>
        </w:rPr>
        <w:t xml:space="preserve"> compartments in SW480/MACC1-GFP and SW480/MACC1ΔSH3-GFP cells after EGF-647 stimulated EGFR internalization is shown. Scale bar = 10 µm. Indicated regions are displayed enlarged (10x). </w:t>
      </w:r>
      <w:r w:rsidR="006B56A2" w:rsidRPr="00C02CB8">
        <w:rPr>
          <w:b/>
          <w:sz w:val="24"/>
          <w:szCs w:val="24"/>
        </w:rPr>
        <w:t>(d</w:t>
      </w:r>
      <w:r w:rsidRPr="00C02CB8">
        <w:rPr>
          <w:b/>
          <w:sz w:val="24"/>
          <w:szCs w:val="24"/>
        </w:rPr>
        <w:t>)</w:t>
      </w:r>
      <w:r w:rsidRPr="00C02CB8">
        <w:rPr>
          <w:sz w:val="24"/>
          <w:szCs w:val="24"/>
        </w:rPr>
        <w:t xml:space="preserve"> Quantification of specific endosomal compartments, labeled with EEA1, RAB11, LAMP1 (respectively) in SW480/MACC1-GFP and SW480/MACC1</w:t>
      </w:r>
      <w:r w:rsidRPr="00C02CB8">
        <w:rPr>
          <w:rFonts w:cs="Calibri"/>
          <w:sz w:val="24"/>
          <w:szCs w:val="24"/>
        </w:rPr>
        <w:t>Δ</w:t>
      </w:r>
      <w:r w:rsidRPr="00C02CB8">
        <w:rPr>
          <w:sz w:val="24"/>
          <w:szCs w:val="24"/>
        </w:rPr>
        <w:t xml:space="preserve">SH3-GFP cells after EGF 647-dependent EGFR internalization (n ≤ 10 cells; mean ± SEM). Statistical analysis was performed by Wilcox test. </w:t>
      </w:r>
      <w:r w:rsidRPr="00C02CB8">
        <w:rPr>
          <w:b/>
          <w:sz w:val="24"/>
          <w:szCs w:val="24"/>
        </w:rPr>
        <w:t>(</w:t>
      </w:r>
      <w:r w:rsidR="006B56A2" w:rsidRPr="00C02CB8">
        <w:rPr>
          <w:b/>
          <w:sz w:val="24"/>
          <w:szCs w:val="24"/>
        </w:rPr>
        <w:t>d</w:t>
      </w:r>
      <w:r w:rsidRPr="00C02CB8">
        <w:rPr>
          <w:b/>
          <w:sz w:val="24"/>
          <w:szCs w:val="24"/>
        </w:rPr>
        <w:t>)</w:t>
      </w:r>
      <w:r w:rsidRPr="00C02CB8">
        <w:rPr>
          <w:sz w:val="24"/>
          <w:szCs w:val="24"/>
        </w:rPr>
        <w:t xml:space="preserve"> Compart</w:t>
      </w:r>
      <w:r w:rsidR="006B56A2" w:rsidRPr="00C02CB8">
        <w:rPr>
          <w:sz w:val="24"/>
          <w:szCs w:val="24"/>
        </w:rPr>
        <w:t>ment</w:t>
      </w:r>
      <w:r w:rsidRPr="00C02CB8">
        <w:rPr>
          <w:sz w:val="24"/>
          <w:szCs w:val="24"/>
        </w:rPr>
        <w:t xml:space="preserve">-specific </w:t>
      </w:r>
      <w:r w:rsidR="006B56A2" w:rsidRPr="00C02CB8">
        <w:rPr>
          <w:sz w:val="24"/>
          <w:szCs w:val="24"/>
        </w:rPr>
        <w:t xml:space="preserve">quantification of integrated </w:t>
      </w:r>
      <w:r w:rsidRPr="00C02CB8">
        <w:rPr>
          <w:sz w:val="24"/>
          <w:szCs w:val="24"/>
        </w:rPr>
        <w:t>EGF-647 signal density in EEA1</w:t>
      </w:r>
      <w:r w:rsidR="006B56A2" w:rsidRPr="00C02CB8">
        <w:rPr>
          <w:sz w:val="24"/>
          <w:szCs w:val="24"/>
        </w:rPr>
        <w:t>-</w:t>
      </w:r>
      <w:r w:rsidRPr="00C02CB8">
        <w:rPr>
          <w:sz w:val="24"/>
          <w:szCs w:val="24"/>
        </w:rPr>
        <w:t>, LAMP1</w:t>
      </w:r>
      <w:r w:rsidR="006B56A2" w:rsidRPr="00C02CB8">
        <w:rPr>
          <w:sz w:val="24"/>
          <w:szCs w:val="24"/>
        </w:rPr>
        <w:t>-</w:t>
      </w:r>
      <w:r w:rsidRPr="00C02CB8">
        <w:rPr>
          <w:sz w:val="24"/>
          <w:szCs w:val="24"/>
        </w:rPr>
        <w:t xml:space="preserve"> and RAB11-marked compartments. Statistical analysis was performed by Wilcox test (n ≤</w:t>
      </w:r>
      <w:r w:rsidR="006B56A2" w:rsidRPr="00C02CB8">
        <w:rPr>
          <w:sz w:val="24"/>
          <w:szCs w:val="24"/>
        </w:rPr>
        <w:t> </w:t>
      </w:r>
      <w:r w:rsidRPr="00C02CB8">
        <w:rPr>
          <w:sz w:val="24"/>
          <w:szCs w:val="24"/>
        </w:rPr>
        <w:t>10 cells; mean ± SEM, n=3).</w:t>
      </w:r>
      <w:r w:rsidR="006B56A2" w:rsidRPr="00C02CB8">
        <w:rPr>
          <w:sz w:val="24"/>
          <w:szCs w:val="24"/>
        </w:rPr>
        <w:t xml:space="preserve"> </w:t>
      </w:r>
      <w:r w:rsidR="006B56A2" w:rsidRPr="00C02CB8">
        <w:rPr>
          <w:b/>
          <w:sz w:val="24"/>
          <w:szCs w:val="24"/>
        </w:rPr>
        <w:t>(f-h)</w:t>
      </w:r>
      <w:r w:rsidR="006B56A2" w:rsidRPr="00C02CB8">
        <w:rPr>
          <w:sz w:val="24"/>
          <w:szCs w:val="24"/>
        </w:rPr>
        <w:t xml:space="preserve"> Single channel images of the co-localization of MACC1, EGF-647 and EEA1 </w:t>
      </w:r>
      <w:r w:rsidR="006B56A2" w:rsidRPr="00C02CB8">
        <w:rPr>
          <w:b/>
          <w:sz w:val="24"/>
          <w:szCs w:val="24"/>
        </w:rPr>
        <w:t>(f)</w:t>
      </w:r>
      <w:r w:rsidR="006B56A2" w:rsidRPr="00C02CB8">
        <w:rPr>
          <w:sz w:val="24"/>
          <w:szCs w:val="24"/>
        </w:rPr>
        <w:t xml:space="preserve">, LAMP1 </w:t>
      </w:r>
      <w:r w:rsidR="006B56A2" w:rsidRPr="00C02CB8">
        <w:rPr>
          <w:b/>
          <w:sz w:val="24"/>
          <w:szCs w:val="24"/>
        </w:rPr>
        <w:t>(g)</w:t>
      </w:r>
      <w:r w:rsidR="006B56A2" w:rsidRPr="00C02CB8">
        <w:rPr>
          <w:sz w:val="24"/>
          <w:szCs w:val="24"/>
        </w:rPr>
        <w:t xml:space="preserve">, or RAB11 </w:t>
      </w:r>
      <w:r w:rsidR="006B56A2" w:rsidRPr="00C02CB8">
        <w:rPr>
          <w:b/>
          <w:sz w:val="24"/>
          <w:szCs w:val="24"/>
        </w:rPr>
        <w:t>(h)</w:t>
      </w:r>
      <w:r w:rsidR="006B56A2" w:rsidRPr="00C02CB8">
        <w:rPr>
          <w:sz w:val="24"/>
          <w:szCs w:val="24"/>
        </w:rPr>
        <w:t xml:space="preserve"> in SW480/MACC1-GFP and SW480/MACC1</w:t>
      </w:r>
      <w:r w:rsidR="006B56A2" w:rsidRPr="00C02CB8">
        <w:rPr>
          <w:rFonts w:cs="Calibri"/>
          <w:sz w:val="24"/>
          <w:szCs w:val="24"/>
        </w:rPr>
        <w:t>Δ</w:t>
      </w:r>
      <w:r w:rsidR="006B56A2" w:rsidRPr="00C02CB8">
        <w:rPr>
          <w:sz w:val="24"/>
          <w:szCs w:val="24"/>
        </w:rPr>
        <w:t>SH3-GFP cells after EGF 647-dependent EGFR internalization Nuclei were stained with DAPI. Scale bar = 10 µm. EGF/R – epidermal growth factor/receptor; EEA1 –early endosome antigen 1; LAMP1 - lysosomal associated membrane protein 1; RAB11 – Ras-related protein Rab11; * p &lt; 0.05, ** p &lt; 0.01</w:t>
      </w:r>
    </w:p>
    <w:p w:rsidR="008C0BAC" w:rsidRPr="00C02CB8" w:rsidRDefault="008C0BAC">
      <w:pPr>
        <w:spacing w:after="0" w:line="240" w:lineRule="auto"/>
        <w:rPr>
          <w:sz w:val="24"/>
          <w:szCs w:val="24"/>
        </w:rPr>
      </w:pPr>
      <w:r w:rsidRPr="00C02CB8">
        <w:rPr>
          <w:sz w:val="24"/>
          <w:szCs w:val="24"/>
        </w:rPr>
        <w:br w:type="page"/>
      </w:r>
    </w:p>
    <w:p w:rsidR="005A306F" w:rsidRPr="00C02CB8" w:rsidRDefault="00137E21" w:rsidP="00AB3073">
      <w:pPr>
        <w:spacing w:after="0" w:line="360" w:lineRule="auto"/>
        <w:jc w:val="both"/>
        <w:rPr>
          <w:sz w:val="24"/>
          <w:szCs w:val="24"/>
        </w:rPr>
      </w:pPr>
      <w:r w:rsidRPr="00C02CB8">
        <w:rPr>
          <w:noProof/>
          <w:sz w:val="24"/>
          <w:szCs w:val="24"/>
          <w:lang w:val="en-IN" w:eastAsia="en-IN"/>
        </w:rPr>
        <w:drawing>
          <wp:inline distT="0" distB="0" distL="0" distR="0" wp14:anchorId="2A032609" wp14:editId="55D70275">
            <wp:extent cx="5000400" cy="864000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00400" cy="8640000"/>
                    </a:xfrm>
                    <a:prstGeom prst="rect">
                      <a:avLst/>
                    </a:prstGeom>
                    <a:noFill/>
                    <a:ln>
                      <a:noFill/>
                    </a:ln>
                  </pic:spPr>
                </pic:pic>
              </a:graphicData>
            </a:graphic>
          </wp:inline>
        </w:drawing>
      </w:r>
    </w:p>
    <w:p w:rsidR="00145AD7" w:rsidRPr="00C02CB8" w:rsidRDefault="00145AD7">
      <w:pPr>
        <w:spacing w:after="0" w:line="240" w:lineRule="auto"/>
        <w:rPr>
          <w:sz w:val="24"/>
          <w:szCs w:val="24"/>
        </w:rPr>
      </w:pPr>
      <w:r w:rsidRPr="00C02CB8">
        <w:rPr>
          <w:sz w:val="24"/>
          <w:szCs w:val="24"/>
        </w:rPr>
        <w:br w:type="page"/>
      </w:r>
    </w:p>
    <w:p w:rsidR="005A306F" w:rsidRPr="00C02CB8" w:rsidRDefault="005A306F" w:rsidP="00AB3073">
      <w:pPr>
        <w:spacing w:after="0" w:line="360" w:lineRule="auto"/>
        <w:jc w:val="both"/>
        <w:rPr>
          <w:b/>
          <w:szCs w:val="24"/>
        </w:rPr>
      </w:pPr>
      <w:r w:rsidRPr="00C02CB8">
        <w:rPr>
          <w:b/>
          <w:szCs w:val="24"/>
        </w:rPr>
        <w:t>Figure S</w:t>
      </w:r>
      <w:r w:rsidR="008A1A02" w:rsidRPr="00C02CB8">
        <w:rPr>
          <w:b/>
          <w:szCs w:val="24"/>
        </w:rPr>
        <w:t>7</w:t>
      </w:r>
      <w:r w:rsidRPr="00C02CB8">
        <w:rPr>
          <w:b/>
          <w:szCs w:val="24"/>
        </w:rPr>
        <w:t>: Correlation of MACC1 and EGFR-target gene expression in microarray data of CRC patient tumors.</w:t>
      </w:r>
    </w:p>
    <w:p w:rsidR="005A306F" w:rsidRPr="00C02CB8" w:rsidRDefault="00EF57DF" w:rsidP="00AB3073">
      <w:pPr>
        <w:spacing w:after="0" w:line="360" w:lineRule="auto"/>
        <w:jc w:val="both"/>
        <w:rPr>
          <w:szCs w:val="24"/>
        </w:rPr>
      </w:pPr>
      <w:r w:rsidRPr="00C02CB8">
        <w:rPr>
          <w:b/>
          <w:szCs w:val="24"/>
        </w:rPr>
        <w:t>(</w:t>
      </w:r>
      <w:r w:rsidR="00812F14" w:rsidRPr="00C02CB8">
        <w:rPr>
          <w:b/>
          <w:szCs w:val="24"/>
        </w:rPr>
        <w:t>a-g</w:t>
      </w:r>
      <w:r w:rsidRPr="00C02CB8">
        <w:rPr>
          <w:b/>
          <w:szCs w:val="24"/>
        </w:rPr>
        <w:t>)</w:t>
      </w:r>
      <w:r w:rsidRPr="00C02CB8">
        <w:rPr>
          <w:szCs w:val="24"/>
        </w:rPr>
        <w:t xml:space="preserve"> </w:t>
      </w:r>
      <w:r w:rsidR="005A306F" w:rsidRPr="00C02CB8">
        <w:rPr>
          <w:szCs w:val="24"/>
        </w:rPr>
        <w:t>Publicly available sets of expression data of tumor tissue from four independent CRC patient cohorts were normalized to G6PDH and merged into a single file (n = 161). Correlation analysis of relative MACC1 expression (MACC1/G6PDH) and the expression level of EGFR-target genes validated a role of MACC1 in EGFR-dependent expression regulation in cancer cells.</w:t>
      </w:r>
    </w:p>
    <w:p w:rsidR="005A306F" w:rsidRPr="00C02CB8" w:rsidRDefault="00062C2C" w:rsidP="00062C2C">
      <w:pPr>
        <w:spacing w:after="200" w:line="276" w:lineRule="auto"/>
        <w:rPr>
          <w:szCs w:val="24"/>
        </w:rPr>
      </w:pPr>
      <w:r w:rsidRPr="00C02CB8">
        <w:rPr>
          <w:szCs w:val="24"/>
        </w:rPr>
        <w:br w:type="page"/>
      </w:r>
    </w:p>
    <w:p w:rsidR="00EB7566" w:rsidRPr="00C02CB8" w:rsidRDefault="00137E21" w:rsidP="00AB3073">
      <w:pPr>
        <w:spacing w:after="0" w:line="360" w:lineRule="auto"/>
        <w:jc w:val="both"/>
        <w:rPr>
          <w:sz w:val="24"/>
          <w:szCs w:val="24"/>
        </w:rPr>
      </w:pPr>
      <w:r w:rsidRPr="00C02CB8">
        <w:rPr>
          <w:noProof/>
          <w:sz w:val="24"/>
          <w:szCs w:val="24"/>
          <w:lang w:val="en-IN" w:eastAsia="en-IN"/>
        </w:rPr>
        <w:drawing>
          <wp:inline distT="0" distB="0" distL="0" distR="0" wp14:anchorId="34861E84" wp14:editId="184D89E5">
            <wp:extent cx="5727600" cy="8640000"/>
            <wp:effectExtent l="0" t="0" r="6985" b="8890"/>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27600" cy="8640000"/>
                    </a:xfrm>
                    <a:prstGeom prst="rect">
                      <a:avLst/>
                    </a:prstGeom>
                    <a:noFill/>
                    <a:ln>
                      <a:noFill/>
                    </a:ln>
                  </pic:spPr>
                </pic:pic>
              </a:graphicData>
            </a:graphic>
          </wp:inline>
        </w:drawing>
      </w:r>
    </w:p>
    <w:p w:rsidR="00145AD7" w:rsidRPr="00C02CB8" w:rsidRDefault="00145AD7">
      <w:pPr>
        <w:spacing w:after="0" w:line="240" w:lineRule="auto"/>
        <w:rPr>
          <w:sz w:val="24"/>
          <w:szCs w:val="24"/>
        </w:rPr>
      </w:pPr>
      <w:r w:rsidRPr="00C02CB8">
        <w:rPr>
          <w:sz w:val="24"/>
          <w:szCs w:val="24"/>
        </w:rPr>
        <w:br w:type="page"/>
      </w:r>
    </w:p>
    <w:p w:rsidR="009D7332" w:rsidRPr="00C02CB8" w:rsidRDefault="005A306F" w:rsidP="00AB3073">
      <w:pPr>
        <w:spacing w:after="0" w:line="360" w:lineRule="auto"/>
        <w:jc w:val="both"/>
        <w:rPr>
          <w:b/>
          <w:szCs w:val="24"/>
        </w:rPr>
      </w:pPr>
      <w:r w:rsidRPr="00C02CB8">
        <w:rPr>
          <w:b/>
          <w:szCs w:val="24"/>
        </w:rPr>
        <w:t>Figure S</w:t>
      </w:r>
      <w:r w:rsidR="006B56A2" w:rsidRPr="00C02CB8">
        <w:rPr>
          <w:b/>
          <w:szCs w:val="24"/>
        </w:rPr>
        <w:t>8</w:t>
      </w:r>
      <w:r w:rsidR="009D7332" w:rsidRPr="00C02CB8">
        <w:rPr>
          <w:b/>
          <w:szCs w:val="24"/>
        </w:rPr>
        <w:t>: Graphical summary: Schematic representation of the reported impact of MACC1 on CME and cargo fate.</w:t>
      </w:r>
    </w:p>
    <w:p w:rsidR="009D7332" w:rsidRPr="00C02CB8" w:rsidRDefault="009D7332" w:rsidP="00AB3073">
      <w:pPr>
        <w:spacing w:after="0" w:line="360" w:lineRule="auto"/>
        <w:jc w:val="both"/>
        <w:rPr>
          <w:szCs w:val="24"/>
        </w:rPr>
      </w:pPr>
      <w:r w:rsidRPr="00C02CB8">
        <w:rPr>
          <w:szCs w:val="24"/>
        </w:rPr>
        <w:t>MACC1 interacts with cargo proteins, such as TfR or EGFR, as well as with accessory proteins for CME, including CLTC, DNM2 and AP</w:t>
      </w:r>
      <w:r w:rsidR="00062C2C" w:rsidRPr="00C02CB8">
        <w:rPr>
          <w:szCs w:val="24"/>
        </w:rPr>
        <w:noBreakHyphen/>
      </w:r>
      <w:r w:rsidRPr="00C02CB8">
        <w:rPr>
          <w:szCs w:val="24"/>
        </w:rPr>
        <w:t>2</w:t>
      </w:r>
      <w:r w:rsidRPr="00C02CB8">
        <w:rPr>
          <w:rFonts w:cs="Calibri"/>
          <w:szCs w:val="24"/>
        </w:rPr>
        <w:t>α</w:t>
      </w:r>
      <w:r w:rsidRPr="00C02CB8">
        <w:rPr>
          <w:szCs w:val="24"/>
        </w:rPr>
        <w:t>. MACC1 stays associated with the cargo in CCVs and early endosomes. MACC1 overexpression decreases the uptake rate of cargo proteins and facilitates faster recycling, while decreasing its degradation. In case of EGFR, the enhanced recycling after CME at high MACC1 expression levels leads to faster and higher receptor phosphorylation and stronger and prolonged downstream signaling activity.</w:t>
      </w:r>
    </w:p>
    <w:p w:rsidR="000E4038" w:rsidRPr="00C02CB8" w:rsidRDefault="009D7332" w:rsidP="00AB3073">
      <w:pPr>
        <w:spacing w:after="0" w:line="360" w:lineRule="auto"/>
        <w:jc w:val="both"/>
        <w:rPr>
          <w:szCs w:val="24"/>
        </w:rPr>
      </w:pPr>
      <w:r w:rsidRPr="00C02CB8">
        <w:rPr>
          <w:szCs w:val="24"/>
        </w:rPr>
        <w:t>TfR – transferrin receptor 1; EGFR – epidermal growth factor receptor; CME – clathrin-mediated endocytosis; CLTC – clathrin heavy chain 1; DNM2 – dynamin</w:t>
      </w:r>
      <w:r w:rsidRPr="00C02CB8">
        <w:rPr>
          <w:szCs w:val="24"/>
        </w:rPr>
        <w:noBreakHyphen/>
        <w:t>2; AP</w:t>
      </w:r>
      <w:r w:rsidRPr="00C02CB8">
        <w:rPr>
          <w:szCs w:val="24"/>
        </w:rPr>
        <w:noBreakHyphen/>
        <w:t>2</w:t>
      </w:r>
      <w:r w:rsidRPr="00C02CB8">
        <w:rPr>
          <w:rFonts w:cs="Calibri"/>
          <w:szCs w:val="24"/>
        </w:rPr>
        <w:t>α</w:t>
      </w:r>
      <w:r w:rsidRPr="00C02CB8">
        <w:rPr>
          <w:szCs w:val="24"/>
        </w:rPr>
        <w:t xml:space="preserve"> – adaptor protein 2</w:t>
      </w:r>
      <w:r w:rsidRPr="00C02CB8">
        <w:rPr>
          <w:rFonts w:cs="Calibri"/>
          <w:szCs w:val="24"/>
        </w:rPr>
        <w:t>α</w:t>
      </w:r>
      <w:r w:rsidRPr="00C02CB8">
        <w:rPr>
          <w:szCs w:val="24"/>
        </w:rPr>
        <w:t>; CCV – clathrin-coated vesicle</w:t>
      </w:r>
    </w:p>
    <w:sectPr w:rsidR="000E4038" w:rsidRPr="00C02CB8" w:rsidSect="00F87F8A">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8F3" w:rsidRDefault="00B878F3" w:rsidP="00A35A95">
      <w:pPr>
        <w:spacing w:after="0" w:line="240" w:lineRule="auto"/>
      </w:pPr>
      <w:r>
        <w:separator/>
      </w:r>
    </w:p>
  </w:endnote>
  <w:endnote w:type="continuationSeparator" w:id="0">
    <w:p w:rsidR="00B878F3" w:rsidRDefault="00B878F3" w:rsidP="00A35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95" w:rsidRDefault="00A35A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95" w:rsidRDefault="00A35A95">
    <w:pPr>
      <w:pStyle w:val="Footer"/>
      <w:jc w:val="right"/>
    </w:pPr>
    <w:r>
      <w:fldChar w:fldCharType="begin"/>
    </w:r>
    <w:r>
      <w:instrText>PAGE   \* MERGEFORMAT</w:instrText>
    </w:r>
    <w:r>
      <w:fldChar w:fldCharType="separate"/>
    </w:r>
    <w:r w:rsidR="003E2E28" w:rsidRPr="003E2E28">
      <w:rPr>
        <w:noProof/>
        <w:lang w:val="it-IT"/>
      </w:rPr>
      <w:t>19</w:t>
    </w:r>
    <w:r>
      <w:fldChar w:fldCharType="end"/>
    </w:r>
  </w:p>
  <w:p w:rsidR="00A35A95" w:rsidRDefault="00A35A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95" w:rsidRDefault="00A35A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8F3" w:rsidRDefault="00B878F3" w:rsidP="00A35A95">
      <w:pPr>
        <w:spacing w:after="0" w:line="240" w:lineRule="auto"/>
      </w:pPr>
      <w:r>
        <w:separator/>
      </w:r>
    </w:p>
  </w:footnote>
  <w:footnote w:type="continuationSeparator" w:id="0">
    <w:p w:rsidR="00B878F3" w:rsidRDefault="00B878F3" w:rsidP="00A35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95" w:rsidRDefault="00A35A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95" w:rsidRDefault="00A35A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95" w:rsidRDefault="00A35A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332"/>
    <w:rsid w:val="000223D2"/>
    <w:rsid w:val="0003262B"/>
    <w:rsid w:val="00062C2C"/>
    <w:rsid w:val="000866AF"/>
    <w:rsid w:val="000B2191"/>
    <w:rsid w:val="000E4038"/>
    <w:rsid w:val="000F643F"/>
    <w:rsid w:val="0010045C"/>
    <w:rsid w:val="0010305F"/>
    <w:rsid w:val="00131D68"/>
    <w:rsid w:val="00137E21"/>
    <w:rsid w:val="00145AD7"/>
    <w:rsid w:val="001955AE"/>
    <w:rsid w:val="001B52D1"/>
    <w:rsid w:val="001F4CCD"/>
    <w:rsid w:val="002032BD"/>
    <w:rsid w:val="00222207"/>
    <w:rsid w:val="002A3EF2"/>
    <w:rsid w:val="00304759"/>
    <w:rsid w:val="00316B5F"/>
    <w:rsid w:val="00363489"/>
    <w:rsid w:val="003E2E28"/>
    <w:rsid w:val="003E5DAB"/>
    <w:rsid w:val="00425B39"/>
    <w:rsid w:val="004647E7"/>
    <w:rsid w:val="00483411"/>
    <w:rsid w:val="0049480B"/>
    <w:rsid w:val="004B70DA"/>
    <w:rsid w:val="004F2F82"/>
    <w:rsid w:val="005273C3"/>
    <w:rsid w:val="005305CB"/>
    <w:rsid w:val="00546436"/>
    <w:rsid w:val="00550EB3"/>
    <w:rsid w:val="00551646"/>
    <w:rsid w:val="00583E60"/>
    <w:rsid w:val="005929EC"/>
    <w:rsid w:val="005977F6"/>
    <w:rsid w:val="005A306F"/>
    <w:rsid w:val="005B78D6"/>
    <w:rsid w:val="005D17E7"/>
    <w:rsid w:val="005E4CF1"/>
    <w:rsid w:val="00632CB7"/>
    <w:rsid w:val="00692183"/>
    <w:rsid w:val="006B56A2"/>
    <w:rsid w:val="006E2388"/>
    <w:rsid w:val="006E74E5"/>
    <w:rsid w:val="006F63C8"/>
    <w:rsid w:val="00746485"/>
    <w:rsid w:val="00776E86"/>
    <w:rsid w:val="007D16FE"/>
    <w:rsid w:val="00804A84"/>
    <w:rsid w:val="00812F14"/>
    <w:rsid w:val="00842AD2"/>
    <w:rsid w:val="008A1A02"/>
    <w:rsid w:val="008C0BAC"/>
    <w:rsid w:val="00945077"/>
    <w:rsid w:val="009B2E8F"/>
    <w:rsid w:val="009D0F53"/>
    <w:rsid w:val="009D7332"/>
    <w:rsid w:val="009D7B8E"/>
    <w:rsid w:val="00A13C1A"/>
    <w:rsid w:val="00A35A95"/>
    <w:rsid w:val="00A35D61"/>
    <w:rsid w:val="00A721AF"/>
    <w:rsid w:val="00A92045"/>
    <w:rsid w:val="00AB3073"/>
    <w:rsid w:val="00AB7F7C"/>
    <w:rsid w:val="00B323F4"/>
    <w:rsid w:val="00B32DF4"/>
    <w:rsid w:val="00B459B0"/>
    <w:rsid w:val="00B878F3"/>
    <w:rsid w:val="00B94F75"/>
    <w:rsid w:val="00BD4F5E"/>
    <w:rsid w:val="00C02CB8"/>
    <w:rsid w:val="00C06ABD"/>
    <w:rsid w:val="00C07178"/>
    <w:rsid w:val="00C40626"/>
    <w:rsid w:val="00C5319C"/>
    <w:rsid w:val="00C771DD"/>
    <w:rsid w:val="00CB09C2"/>
    <w:rsid w:val="00CB0D1D"/>
    <w:rsid w:val="00CD2CFD"/>
    <w:rsid w:val="00D1580C"/>
    <w:rsid w:val="00D72092"/>
    <w:rsid w:val="00D92630"/>
    <w:rsid w:val="00DE157B"/>
    <w:rsid w:val="00E12925"/>
    <w:rsid w:val="00E25FCB"/>
    <w:rsid w:val="00E2701A"/>
    <w:rsid w:val="00E42200"/>
    <w:rsid w:val="00E7082F"/>
    <w:rsid w:val="00EB7566"/>
    <w:rsid w:val="00EF57DF"/>
    <w:rsid w:val="00F4221A"/>
    <w:rsid w:val="00F66EF0"/>
    <w:rsid w:val="00F87F8A"/>
    <w:rsid w:val="00FD3973"/>
    <w:rsid w:val="00FD4D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1E921-74AC-46BE-963C-EC89E5FA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332"/>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33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D7332"/>
    <w:rPr>
      <w:rFonts w:ascii="Tahoma" w:eastAsia="Calibri" w:hAnsi="Tahoma" w:cs="Tahoma"/>
      <w:sz w:val="16"/>
      <w:szCs w:val="16"/>
      <w:lang w:val="en-US"/>
    </w:rPr>
  </w:style>
  <w:style w:type="paragraph" w:styleId="ListParagraph">
    <w:name w:val="List Paragraph"/>
    <w:basedOn w:val="Normal"/>
    <w:uiPriority w:val="34"/>
    <w:qFormat/>
    <w:rsid w:val="00EB7566"/>
    <w:pPr>
      <w:ind w:left="720"/>
      <w:contextualSpacing/>
    </w:pPr>
  </w:style>
  <w:style w:type="character" w:styleId="CommentReference">
    <w:name w:val="annotation reference"/>
    <w:uiPriority w:val="99"/>
    <w:semiHidden/>
    <w:unhideWhenUsed/>
    <w:rsid w:val="000866AF"/>
    <w:rPr>
      <w:sz w:val="16"/>
      <w:szCs w:val="16"/>
    </w:rPr>
  </w:style>
  <w:style w:type="paragraph" w:styleId="CommentText">
    <w:name w:val="annotation text"/>
    <w:basedOn w:val="Normal"/>
    <w:link w:val="CommentTextChar"/>
    <w:uiPriority w:val="99"/>
    <w:semiHidden/>
    <w:unhideWhenUsed/>
    <w:rsid w:val="000866AF"/>
    <w:pPr>
      <w:spacing w:line="240" w:lineRule="auto"/>
    </w:pPr>
    <w:rPr>
      <w:sz w:val="20"/>
      <w:szCs w:val="20"/>
    </w:rPr>
  </w:style>
  <w:style w:type="character" w:customStyle="1" w:styleId="CommentTextChar">
    <w:name w:val="Comment Text Char"/>
    <w:link w:val="CommentText"/>
    <w:uiPriority w:val="99"/>
    <w:semiHidden/>
    <w:rsid w:val="000866AF"/>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866AF"/>
    <w:rPr>
      <w:b/>
      <w:bCs/>
    </w:rPr>
  </w:style>
  <w:style w:type="character" w:customStyle="1" w:styleId="CommentSubjectChar">
    <w:name w:val="Comment Subject Char"/>
    <w:link w:val="CommentSubject"/>
    <w:uiPriority w:val="99"/>
    <w:semiHidden/>
    <w:rsid w:val="000866AF"/>
    <w:rPr>
      <w:rFonts w:ascii="Calibri" w:eastAsia="Calibri" w:hAnsi="Calibri" w:cs="Times New Roman"/>
      <w:b/>
      <w:bCs/>
      <w:sz w:val="20"/>
      <w:szCs w:val="20"/>
      <w:lang w:val="en-US"/>
    </w:rPr>
  </w:style>
  <w:style w:type="paragraph" w:styleId="Header">
    <w:name w:val="header"/>
    <w:basedOn w:val="Normal"/>
    <w:link w:val="HeaderChar"/>
    <w:uiPriority w:val="99"/>
    <w:unhideWhenUsed/>
    <w:rsid w:val="00A35A95"/>
    <w:pPr>
      <w:tabs>
        <w:tab w:val="center" w:pos="4819"/>
        <w:tab w:val="right" w:pos="9638"/>
      </w:tabs>
      <w:spacing w:after="0" w:line="240" w:lineRule="auto"/>
    </w:pPr>
  </w:style>
  <w:style w:type="character" w:customStyle="1" w:styleId="HeaderChar">
    <w:name w:val="Header Char"/>
    <w:link w:val="Header"/>
    <w:uiPriority w:val="99"/>
    <w:rsid w:val="00A35A95"/>
    <w:rPr>
      <w:rFonts w:ascii="Calibri" w:eastAsia="Calibri" w:hAnsi="Calibri" w:cs="Times New Roman"/>
      <w:lang w:val="en-US"/>
    </w:rPr>
  </w:style>
  <w:style w:type="paragraph" w:styleId="Footer">
    <w:name w:val="footer"/>
    <w:basedOn w:val="Normal"/>
    <w:link w:val="FooterChar"/>
    <w:uiPriority w:val="99"/>
    <w:unhideWhenUsed/>
    <w:rsid w:val="00A35A95"/>
    <w:pPr>
      <w:tabs>
        <w:tab w:val="center" w:pos="4819"/>
        <w:tab w:val="right" w:pos="9638"/>
      </w:tabs>
      <w:spacing w:after="0" w:line="240" w:lineRule="auto"/>
    </w:pPr>
  </w:style>
  <w:style w:type="character" w:customStyle="1" w:styleId="FooterChar">
    <w:name w:val="Footer Char"/>
    <w:link w:val="Footer"/>
    <w:uiPriority w:val="99"/>
    <w:rsid w:val="00A35A95"/>
    <w:rPr>
      <w:rFonts w:ascii="Calibri" w:eastAsia="Calibri" w:hAnsi="Calibri" w:cs="Times New Roman"/>
      <w:lang w:val="en-US"/>
    </w:rPr>
  </w:style>
  <w:style w:type="character" w:styleId="LineNumber">
    <w:name w:val="line number"/>
    <w:basedOn w:val="DefaultParagraphFont"/>
    <w:uiPriority w:val="99"/>
    <w:semiHidden/>
    <w:unhideWhenUsed/>
    <w:rsid w:val="006E2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06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C8436-D140-4E2A-8C4D-21A4F661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1975</Words>
  <Characters>11263</Characters>
  <Application>Microsoft Office Word</Application>
  <DocSecurity>0</DocSecurity>
  <Lines>93</Lines>
  <Paragraphs>26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dc:creator>
  <cp:lastModifiedBy>Lavanya M.</cp:lastModifiedBy>
  <cp:revision>3</cp:revision>
  <dcterms:created xsi:type="dcterms:W3CDTF">2020-10-04T08:27:00Z</dcterms:created>
  <dcterms:modified xsi:type="dcterms:W3CDTF">2020-12-18T07:10:00Z</dcterms:modified>
</cp:coreProperties>
</file>