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jc w:val="both"/>
        <w:rPr>
          <w:rFonts w:ascii="arial" w:hAnsi="arial"/>
        </w:rPr>
      </w:pPr>
      <w:r>
        <w:rPr>
          <w:rFonts w:ascii="arial" w:hAnsi="arial"/>
        </w:rPr>
        <w:t>############################</w:t>
      </w:r>
      <w:r>
        <w:rPr>
          <w:rFonts w:ascii="arial" w:hAnsi="arial"/>
          <w:b/>
        </w:rPr>
        <w:t>SUPPLEMENTS</w:t>
      </w:r>
      <w:r>
        <w:rPr>
          <w:rFonts w:ascii="arial" w:hAnsi="arial"/>
        </w:rPr>
        <w:t xml:space="preserve"> ##############################</w:t>
      </w:r>
    </w:p>
    <w:p>
      <w:pPr>
        <w:pStyle w:val="TextBody"/>
        <w:shd w:val="clear" w:fill="FFFFFF"/>
        <w:bidi w:val="0"/>
        <w:spacing w:lineRule="auto" w:line="276"/>
        <w:jc w:val="both"/>
        <w:rPr>
          <w:b/>
          <w:b/>
        </w:rPr>
      </w:pPr>
      <w:bookmarkStart w:id="0" w:name="docs-internal-guid-0ccff683-7fff-25fa-b8"/>
      <w:bookmarkEnd w:id="0"/>
      <w:r>
        <w:rPr>
          <w:rFonts w:ascii="Arial;sans-serif" w:hAnsi="Arial;sans-serif"/>
          <w:b/>
          <w:i w:val="false"/>
          <w:caps w:val="false"/>
          <w:smallCaps w:val="false"/>
          <w:strike w:val="false"/>
          <w:dstrike w:val="false"/>
          <w:color w:val="0E101A"/>
          <w:sz w:val="28"/>
          <w:highlight w:val="white"/>
          <w:u w:val="none"/>
          <w:effect w:val="none"/>
        </w:rPr>
        <w:t>Aberrant microbiomes are associated with increased antibiotic resistance gene load in hybrid mice</w:t>
      </w:r>
    </w:p>
    <w:p>
      <w:pPr>
        <w:pStyle w:val="TextBody"/>
        <w:shd w:val="clear" w:fill="FFFFFF"/>
        <w:bidi w:val="0"/>
        <w:spacing w:lineRule="auto" w:line="276"/>
        <w:jc w:val="both"/>
        <w:rPr>
          <w:b/>
          <w:b/>
        </w:rPr>
      </w:pPr>
      <w:r>
        <w:rPr>
          <w:rFonts w:ascii="Arial;sans-serif" w:hAnsi="Arial;sans-serif"/>
          <w:b/>
          <w:i w:val="false"/>
          <w:caps w:val="false"/>
          <w:smallCaps w:val="false"/>
          <w:strike w:val="false"/>
          <w:dstrike w:val="false"/>
          <w:color w:val="0E101A"/>
          <w:sz w:val="28"/>
          <w:highlight w:val="white"/>
          <w:u w:val="none"/>
          <w:effect w:val="none"/>
        </w:rPr>
        <w:br/>
      </w:r>
      <w:r>
        <w:rPr>
          <w:rFonts w:ascii="Arial;sans-serif" w:hAnsi="Arial;sans-serif"/>
          <w:b w:val="false"/>
          <w:i w:val="false"/>
          <w:caps w:val="false"/>
          <w:smallCaps w:val="false"/>
          <w:strike w:val="false"/>
          <w:dstrike w:val="false"/>
          <w:color w:val="000000"/>
          <w:sz w:val="22"/>
          <w:highlight w:val="white"/>
          <w:u w:val="none"/>
          <w:effect w:val="none"/>
        </w:rPr>
        <w:t xml:space="preserve">Jarquín-Díaz, V. H., Ferreira, S. C. M., Balard, A., Ďureje, Ľ., Macholán, M.8, Piálek, J., Bengtsson-Palme J., Kramer-Schadt, S., </w:t>
      </w:r>
      <w:r>
        <w:rPr>
          <w:rFonts w:ascii="arial" w:hAnsi="arial"/>
          <w:b w:val="false"/>
          <w:i w:val="false"/>
          <w:caps w:val="false"/>
          <w:smallCaps w:val="false"/>
          <w:strike w:val="false"/>
          <w:dstrike w:val="false"/>
          <w:color w:val="000000"/>
          <w:sz w:val="22"/>
          <w:highlight w:val="white"/>
          <w:u w:val="none"/>
          <w:effect w:val="none"/>
        </w:rPr>
        <w:t>Forslund-Startceva</w:t>
      </w:r>
      <w:r>
        <w:rPr>
          <w:rFonts w:ascii="Arial;sans-serif" w:hAnsi="Arial;sans-serif"/>
          <w:b w:val="false"/>
          <w:i w:val="false"/>
          <w:caps w:val="false"/>
          <w:smallCaps w:val="false"/>
          <w:strike w:val="false"/>
          <w:dstrike w:val="false"/>
          <w:color w:val="000000"/>
          <w:sz w:val="22"/>
          <w:highlight w:val="white"/>
          <w:u w:val="none"/>
          <w:effect w:val="none"/>
        </w:rPr>
        <w:t>, S.K., Heitlinger, E.</w:t>
      </w:r>
    </w:p>
    <w:p>
      <w:pPr>
        <w:pStyle w:val="TextBody"/>
        <w:shd w:val="clear" w:fill="FFFFFF"/>
        <w:bidi w:val="0"/>
        <w:spacing w:lineRule="auto" w:line="331" w:before="0" w:after="0"/>
        <w:jc w:val="both"/>
        <w:rPr>
          <w:b/>
          <w:b/>
        </w:rPr>
      </w:pPr>
      <w:r>
        <w:rPr>
          <w:b/>
        </w:rPr>
      </w:r>
    </w:p>
    <w:p>
      <w:pPr>
        <w:pStyle w:val="TextBody"/>
        <w:bidi w:val="0"/>
        <w:spacing w:lineRule="auto" w:line="288" w:before="0" w:after="0"/>
        <w:jc w:val="both"/>
        <w:rPr>
          <w:b/>
          <w:b/>
        </w:rPr>
      </w:pPr>
      <w:r>
        <w:rPr>
          <w:rFonts w:ascii="Arial;sans-serif" w:hAnsi="Arial;sans-serif"/>
          <w:b/>
          <w:i w:val="false"/>
          <w:caps w:val="false"/>
          <w:smallCaps w:val="false"/>
          <w:strike w:val="false"/>
          <w:dstrike w:val="false"/>
          <w:color w:val="000000"/>
          <w:sz w:val="24"/>
          <w:u w:val="none"/>
          <w:effect w:val="none"/>
        </w:rPr>
        <w:t>Supplement 1. Extended material and methods</w:t>
      </w:r>
    </w:p>
    <w:p>
      <w:pPr>
        <w:pStyle w:val="TextBody"/>
        <w:rPr>
          <w:b/>
          <w:b/>
        </w:rPr>
      </w:pPr>
      <w:r>
        <w:rPr>
          <w:b/>
        </w:rPr>
      </w:r>
    </w:p>
    <w:p>
      <w:pPr>
        <w:pStyle w:val="TextBody"/>
        <w:bidi w:val="0"/>
        <w:spacing w:lineRule="auto" w:line="288" w:before="0" w:after="0"/>
        <w:jc w:val="both"/>
        <w:rPr>
          <w:b/>
          <w:b/>
        </w:rPr>
      </w:pPr>
      <w:r>
        <w:rPr>
          <w:rFonts w:ascii="Arial;sans-serif" w:hAnsi="Arial;sans-serif"/>
          <w:b/>
          <w:i/>
          <w:caps w:val="false"/>
          <w:smallCaps w:val="false"/>
          <w:strike w:val="false"/>
          <w:dstrike w:val="false"/>
          <w:color w:val="000000"/>
          <w:sz w:val="22"/>
          <w:u w:val="none"/>
          <w:effect w:val="none"/>
        </w:rPr>
        <w:t>S1.1 Collection of samples</w:t>
      </w:r>
    </w:p>
    <w:p>
      <w:pPr>
        <w:pStyle w:val="TextBody"/>
        <w:bidi w:val="0"/>
        <w:spacing w:lineRule="auto" w:line="331" w:before="0" w:after="0"/>
        <w:jc w:val="both"/>
        <w:rPr>
          <w:b/>
          <w:b/>
        </w:rPr>
      </w:pPr>
      <w:r>
        <w:rPr>
          <w:rFonts w:ascii="Arial;sans-serif" w:hAnsi="Arial;sans-serif"/>
          <w:b w:val="false"/>
          <w:i w:val="false"/>
          <w:caps w:val="false"/>
          <w:smallCaps w:val="false"/>
          <w:strike w:val="false"/>
          <w:dstrike w:val="false"/>
          <w:color w:val="0E101A"/>
          <w:sz w:val="22"/>
          <w:u w:val="none"/>
          <w:effect w:val="none"/>
        </w:rPr>
        <w:t>A total of 493</w:t>
      </w:r>
      <w:r>
        <w:rPr>
          <w:caps w:val="false"/>
          <w:smallCaps w:val="false"/>
          <w:strike w:val="false"/>
          <w:dstrike w:val="false"/>
          <w:color w:val="000000"/>
          <w:u w:val="none"/>
          <w:effect w:val="none"/>
        </w:rPr>
        <w:t xml:space="preserve"> </w:t>
      </w:r>
      <w:r>
        <w:rPr>
          <w:rFonts w:ascii="Arial;sans-serif" w:hAnsi="Arial;sans-serif"/>
          <w:b w:val="false"/>
          <w:i w:val="false"/>
          <w:caps w:val="false"/>
          <w:smallCaps w:val="false"/>
          <w:strike w:val="false"/>
          <w:dstrike w:val="false"/>
          <w:color w:val="000000"/>
          <w:sz w:val="22"/>
          <w:u w:val="none"/>
          <w:effect w:val="none"/>
        </w:rPr>
        <w:t xml:space="preserve">house mice were cross-sectionally sampled and used in the current study. Mice were trapped from farms and private facilities between 2015 and 2018 within the German federal states of Mecklenburg-Vorpommern, Bavaria, and Brandenburg (capture permit No. 2347/35/2014) </w:t>
      </w:r>
      <w:r>
        <w:rPr>
          <w:rFonts w:ascii="Arial;sans-serif" w:hAnsi="Arial;sans-serif"/>
          <w:b w:val="false"/>
          <w:i w:val="false"/>
          <w:caps w:val="false"/>
          <w:smallCaps w:val="false"/>
          <w:strike w:val="false"/>
          <w:dstrike w:val="false"/>
          <w:color w:val="0E101A"/>
          <w:sz w:val="22"/>
          <w:u w:val="none"/>
          <w:effect w:val="none"/>
        </w:rPr>
        <w:t xml:space="preserve">from 160 trapping localities in two different geographical transects across the House Mice Hybrid Zone, one in northeastern Germany close to Berlin (Brandenburg, </w:t>
      </w:r>
      <w:r>
        <w:rPr>
          <w:rFonts w:ascii="Arial;sans-serif" w:hAnsi="Arial;sans-serif"/>
          <w:b w:val="false"/>
          <w:i/>
          <w:caps w:val="false"/>
          <w:smallCaps w:val="false"/>
          <w:strike w:val="false"/>
          <w:dstrike w:val="false"/>
          <w:color w:val="0E101A"/>
          <w:sz w:val="22"/>
          <w:u w:val="none"/>
          <w:effect w:val="none"/>
        </w:rPr>
        <w:t xml:space="preserve">N= </w:t>
      </w:r>
      <w:r>
        <w:rPr>
          <w:rFonts w:ascii="Arial;sans-serif" w:hAnsi="Arial;sans-serif"/>
          <w:b w:val="false"/>
          <w:i w:val="false"/>
          <w:caps w:val="false"/>
          <w:smallCaps w:val="false"/>
          <w:strike w:val="false"/>
          <w:dstrike w:val="false"/>
          <w:color w:val="0E101A"/>
          <w:sz w:val="22"/>
          <w:u w:val="none"/>
          <w:effect w:val="none"/>
        </w:rPr>
        <w:t xml:space="preserve">441) and a second one in southeastern Germany close to the Czech border (Bavaria, </w:t>
      </w:r>
      <w:r>
        <w:rPr>
          <w:rFonts w:ascii="Arial;sans-serif" w:hAnsi="Arial;sans-serif"/>
          <w:b w:val="false"/>
          <w:i/>
          <w:caps w:val="false"/>
          <w:smallCaps w:val="false"/>
          <w:strike w:val="false"/>
          <w:dstrike w:val="false"/>
          <w:color w:val="0E101A"/>
          <w:sz w:val="22"/>
          <w:u w:val="none"/>
          <w:effect w:val="none"/>
        </w:rPr>
        <w:t>N</w:t>
      </w:r>
      <w:r>
        <w:rPr>
          <w:rFonts w:ascii="Arial;sans-serif" w:hAnsi="Arial;sans-serif"/>
          <w:b w:val="false"/>
          <w:i w:val="false"/>
          <w:caps w:val="false"/>
          <w:smallCaps w:val="false"/>
          <w:strike w:val="false"/>
          <w:dstrike w:val="false"/>
          <w:color w:val="0E101A"/>
          <w:sz w:val="22"/>
          <w:u w:val="none"/>
          <w:effect w:val="none"/>
        </w:rPr>
        <w:t xml:space="preserve">= 52) </w:t>
      </w:r>
      <w:r>
        <w:rPr>
          <w:rFonts w:ascii="Arial;sans-serif" w:hAnsi="Arial;sans-serif"/>
          <w:b w:val="false"/>
          <w:i w:val="false"/>
          <w:caps w:val="false"/>
          <w:smallCaps w:val="false"/>
          <w:strike w:val="false"/>
          <w:dstrike w:val="false"/>
          <w:color w:val="000000"/>
          <w:sz w:val="22"/>
          <w:u w:val="none"/>
          <w:effect w:val="none"/>
        </w:rPr>
        <w:t xml:space="preserve">as described before (Jarquín-Díaz et al., 2019; Balard et al., 2020). </w:t>
      </w:r>
      <w:bookmarkStart w:id="1" w:name="docs-internal-guid-07fbd220-7fff-7306-82"/>
      <w:bookmarkEnd w:id="1"/>
      <w:r>
        <w:rPr>
          <w:rFonts w:ascii="arial" w:hAnsi="arial"/>
          <w:b w:val="false"/>
          <w:i w:val="false"/>
          <w:iCs w:val="false"/>
          <w:caps w:val="false"/>
          <w:smallCaps w:val="false"/>
          <w:strike w:val="false"/>
          <w:dstrike w:val="false"/>
          <w:color w:val="000000"/>
          <w:sz w:val="22"/>
          <w:u w:val="none"/>
          <w:effect w:val="none"/>
        </w:rPr>
        <w:t>While both trapping areas share similar climate conditions with continental weather, during the collection session in September, Brandenburg is slightly warmer and dryer (Temp: 15.1°C, 77% Rel. humidity, 1.46 mm/day rain) than Bavaria (Temp. 13.4°C, 79% Rel. humidity, 2.35 mm/day rain). Brandenburg’s landscape is highly fragmented and characterised by croplands for intensive agriculture and a minority of small scale farming. Bavaria’s landscape has almost half of the surface used for agriculture and one third for forestry.</w:t>
      </w:r>
      <w:r>
        <w:rPr>
          <w:rFonts w:ascii="arial" w:hAnsi="arial"/>
          <w:b w:val="false"/>
          <w:i/>
          <w:iCs/>
          <w:caps w:val="false"/>
          <w:smallCaps w:val="false"/>
          <w:strike w:val="false"/>
          <w:dstrike w:val="false"/>
          <w:color w:val="000000"/>
          <w:sz w:val="22"/>
          <w:u w:val="none"/>
          <w:effect w:val="none"/>
        </w:rPr>
        <w:t xml:space="preserve"> </w:t>
      </w:r>
      <w:r>
        <w:rPr>
          <w:rFonts w:ascii="Arial;sans-serif" w:hAnsi="Arial;sans-serif"/>
          <w:b w:val="false"/>
          <w:i w:val="false"/>
          <w:caps w:val="false"/>
          <w:smallCaps w:val="false"/>
          <w:strike w:val="false"/>
          <w:dstrike w:val="false"/>
          <w:color w:val="000000"/>
          <w:sz w:val="22"/>
          <w:u w:val="none"/>
          <w:effect w:val="none"/>
        </w:rPr>
        <w:t>In brief, mice were trapped at the end of summer in September, ensuring the capture of a high number of individuals. Traps were set overnight per locality. Mice were housed individually in cages overnight and euthanized by cervical dislocation. All mice were dissected within 24 h after capture. Digestive tracts were dissected and colon content was snap-frozen in liquid nitrogen and then stored at −80° until further analysis.</w:t>
      </w:r>
    </w:p>
    <w:p>
      <w:pPr>
        <w:pStyle w:val="TextBody"/>
        <w:rPr>
          <w:b/>
          <w:b/>
        </w:rPr>
      </w:pPr>
      <w:r>
        <w:rPr>
          <w:b/>
        </w:rPr>
      </w:r>
    </w:p>
    <w:p>
      <w:pPr>
        <w:pStyle w:val="TextBody"/>
        <w:bidi w:val="0"/>
        <w:spacing w:lineRule="auto" w:line="288" w:before="0" w:after="0"/>
        <w:jc w:val="both"/>
        <w:rPr>
          <w:b/>
          <w:b/>
        </w:rPr>
      </w:pPr>
      <w:r>
        <w:rPr>
          <w:rFonts w:ascii="Arial;sans-serif" w:hAnsi="Arial;sans-serif"/>
          <w:b/>
          <w:i/>
          <w:caps w:val="false"/>
          <w:smallCaps w:val="false"/>
          <w:strike w:val="false"/>
          <w:dstrike w:val="false"/>
          <w:color w:val="000000"/>
          <w:sz w:val="22"/>
          <w:u w:val="none"/>
          <w:effect w:val="none"/>
        </w:rPr>
        <w:t>S1.2 Samples processing</w:t>
      </w:r>
    </w:p>
    <w:p>
      <w:pPr>
        <w:pStyle w:val="TextBody"/>
        <w:bidi w:val="0"/>
        <w:spacing w:lineRule="auto" w:line="331" w:before="0" w:after="0"/>
        <w:jc w:val="both"/>
        <w:rPr>
          <w:b/>
          <w:b/>
        </w:rPr>
      </w:pPr>
      <w:r>
        <w:rPr>
          <w:rFonts w:ascii="Arial;sans-serif" w:hAnsi="Arial;sans-serif"/>
          <w:b w:val="false"/>
          <w:i w:val="false"/>
          <w:caps w:val="false"/>
          <w:smallCaps w:val="false"/>
          <w:strike w:val="false"/>
          <w:dstrike w:val="false"/>
          <w:color w:val="000000"/>
          <w:sz w:val="22"/>
          <w:u w:val="none"/>
          <w:effect w:val="none"/>
        </w:rPr>
        <w:t xml:space="preserve">Colon content DNA was extracted using the NucleoSpinⓇ Soil kit (Macherey-Nagel GmbH &amp; KG, Düren, Germany) following the instructions from the manufacturer. The quality and concentration of the extracts was determined by spectrophotometric measurements in a NanoDrop 2000c (Thermo Scientific, Walham, USA) and fluorometrically with </w:t>
      </w:r>
      <w:r>
        <w:rPr>
          <w:rFonts w:ascii="Arial;sans-serif" w:hAnsi="Arial;sans-serif"/>
          <w:b w:val="false"/>
          <w:i w:val="false"/>
          <w:caps w:val="false"/>
          <w:smallCaps w:val="false"/>
          <w:strike w:val="false"/>
          <w:dstrike w:val="false"/>
          <w:color w:val="000000"/>
          <w:sz w:val="22"/>
          <w:highlight w:val="white"/>
          <w:u w:val="none"/>
          <w:effect w:val="none"/>
        </w:rPr>
        <w:t>Qubit dsDNA broad range assay kit (Thermo Scientific, USA)</w:t>
      </w:r>
      <w:r>
        <w:rPr>
          <w:rFonts w:ascii="Arial;sans-serif" w:hAnsi="Arial;sans-serif"/>
          <w:b w:val="false"/>
          <w:i w:val="false"/>
          <w:caps w:val="false"/>
          <w:smallCaps w:val="false"/>
          <w:strike w:val="false"/>
          <w:dstrike w:val="false"/>
          <w:color w:val="000000"/>
          <w:sz w:val="22"/>
          <w:u w:val="none"/>
          <w:effect w:val="none"/>
        </w:rPr>
        <w:t>, respectively. DNA extracts were normalised to a concentration of 30 ng/µL for further analysis.</w:t>
      </w:r>
    </w:p>
    <w:p>
      <w:pPr>
        <w:pStyle w:val="TextBody"/>
        <w:bidi w:val="0"/>
        <w:spacing w:lineRule="auto" w:line="331" w:before="0" w:after="0"/>
        <w:jc w:val="both"/>
        <w:rPr>
          <w:b/>
          <w:b/>
        </w:rPr>
      </w:pPr>
      <w:r>
        <w:rPr>
          <w:b/>
        </w:rPr>
      </w:r>
    </w:p>
    <w:p>
      <w:pPr>
        <w:pStyle w:val="TextBody"/>
        <w:bidi w:val="0"/>
        <w:spacing w:lineRule="auto" w:line="331" w:before="0" w:after="0"/>
        <w:jc w:val="both"/>
        <w:rPr>
          <w:b/>
          <w:b/>
        </w:rPr>
      </w:pPr>
      <w:r>
        <w:rPr>
          <w:rFonts w:ascii="Arial;sans-serif" w:hAnsi="Arial;sans-serif"/>
          <w:b w:val="false"/>
          <w:i w:val="false"/>
          <w:caps w:val="false"/>
          <w:smallCaps w:val="false"/>
          <w:strike w:val="false"/>
          <w:dstrike w:val="false"/>
          <w:color w:val="000000"/>
          <w:sz w:val="22"/>
          <w:highlight w:val="white"/>
          <w:u w:val="none"/>
          <w:effect w:val="none"/>
        </w:rPr>
        <w:t>Microfluidic PCR amplification of the V4 (~300 bp) hypervariable region of the 16S rRNA gene was done using the primers 515F-Y and 806R described by Parada et al., 2016 and Apprill et al., 2015, respectively. Universal adaptor sequences were added to the primer sequences for indexing.</w:t>
      </w:r>
    </w:p>
    <w:p>
      <w:pPr>
        <w:pStyle w:val="TextBody"/>
        <w:rPr>
          <w:b/>
          <w:b/>
        </w:rPr>
      </w:pPr>
      <w:r>
        <w:rPr>
          <w:b/>
        </w:rPr>
      </w:r>
    </w:p>
    <w:p>
      <w:pPr>
        <w:pStyle w:val="TextBody"/>
        <w:bidi w:val="0"/>
        <w:spacing w:lineRule="auto" w:line="331" w:before="0" w:after="0"/>
        <w:jc w:val="both"/>
        <w:rPr>
          <w:b/>
          <w:b/>
        </w:rPr>
      </w:pPr>
      <w:r>
        <w:rPr>
          <w:rFonts w:ascii="Arial;sans-serif" w:hAnsi="Arial;sans-serif"/>
          <w:b w:val="false"/>
          <w:i w:val="false"/>
          <w:caps w:val="false"/>
          <w:smallCaps w:val="false"/>
          <w:strike w:val="false"/>
          <w:dstrike w:val="false"/>
          <w:color w:val="000000"/>
          <w:sz w:val="22"/>
          <w:highlight w:val="white"/>
          <w:u w:val="none"/>
          <w:effect w:val="none"/>
        </w:rPr>
        <w:t>Forward 515F-Y: [</w:t>
      </w:r>
      <w:r>
        <w:rPr>
          <w:rFonts w:ascii="Arial;sans-serif" w:hAnsi="Arial;sans-serif"/>
          <w:b/>
          <w:i/>
          <w:caps w:val="false"/>
          <w:smallCaps w:val="false"/>
          <w:strike w:val="false"/>
          <w:dstrike w:val="false"/>
          <w:color w:val="000000"/>
          <w:sz w:val="22"/>
          <w:highlight w:val="white"/>
          <w:u w:val="none"/>
          <w:effect w:val="none"/>
        </w:rPr>
        <w:t>ACACTGACGACATGGTTCTACA</w:t>
      </w:r>
      <w:r>
        <w:rPr>
          <w:rFonts w:ascii="Arial;sans-serif" w:hAnsi="Arial;sans-serif"/>
          <w:b w:val="false"/>
          <w:i w:val="false"/>
          <w:caps w:val="false"/>
          <w:smallCaps w:val="false"/>
          <w:strike w:val="false"/>
          <w:dstrike w:val="false"/>
          <w:color w:val="000000"/>
          <w:sz w:val="22"/>
          <w:highlight w:val="white"/>
          <w:u w:val="none"/>
          <w:effect w:val="none"/>
        </w:rPr>
        <w:t>]GTG</w:t>
      </w:r>
      <w:r>
        <w:rPr>
          <w:rFonts w:ascii="Arial;sans-serif" w:hAnsi="Arial;sans-serif"/>
          <w:b/>
          <w:i w:val="false"/>
          <w:caps w:val="false"/>
          <w:smallCaps w:val="false"/>
          <w:strike w:val="false"/>
          <w:dstrike w:val="false"/>
          <w:color w:val="000000"/>
          <w:sz w:val="22"/>
          <w:highlight w:val="white"/>
          <w:u w:val="none"/>
          <w:effect w:val="none"/>
        </w:rPr>
        <w:t>Y</w:t>
      </w:r>
      <w:r>
        <w:rPr>
          <w:rFonts w:ascii="Arial;sans-serif" w:hAnsi="Arial;sans-serif"/>
          <w:b w:val="false"/>
          <w:i w:val="false"/>
          <w:caps w:val="false"/>
          <w:smallCaps w:val="false"/>
          <w:strike w:val="false"/>
          <w:dstrike w:val="false"/>
          <w:color w:val="000000"/>
          <w:sz w:val="22"/>
          <w:highlight w:val="white"/>
          <w:u w:val="none"/>
          <w:effect w:val="none"/>
        </w:rPr>
        <w:t>CAGCMGCCGCGGTAA</w:t>
      </w:r>
    </w:p>
    <w:p>
      <w:pPr>
        <w:pStyle w:val="TextBody"/>
        <w:rPr>
          <w:b/>
          <w:b/>
        </w:rPr>
      </w:pPr>
      <w:r>
        <w:rPr>
          <w:b/>
        </w:rPr>
      </w:r>
    </w:p>
    <w:p>
      <w:pPr>
        <w:pStyle w:val="TextBody"/>
        <w:bidi w:val="0"/>
        <w:spacing w:lineRule="auto" w:line="331" w:before="0" w:after="0"/>
        <w:jc w:val="both"/>
        <w:rPr>
          <w:b/>
          <w:b/>
        </w:rPr>
      </w:pPr>
      <w:r>
        <w:rPr>
          <w:rFonts w:ascii="Arial;sans-serif" w:hAnsi="Arial;sans-serif"/>
          <w:b w:val="false"/>
          <w:i w:val="false"/>
          <w:caps w:val="false"/>
          <w:smallCaps w:val="false"/>
          <w:strike w:val="false"/>
          <w:dstrike w:val="false"/>
          <w:color w:val="000000"/>
          <w:sz w:val="22"/>
          <w:highlight w:val="white"/>
          <w:u w:val="none"/>
          <w:effect w:val="none"/>
        </w:rPr>
        <w:t>Reverse 806R: [</w:t>
      </w:r>
      <w:r>
        <w:rPr>
          <w:rFonts w:ascii="Arial;sans-serif" w:hAnsi="Arial;sans-serif"/>
          <w:b/>
          <w:i/>
          <w:caps w:val="false"/>
          <w:smallCaps w:val="false"/>
          <w:strike w:val="false"/>
          <w:dstrike w:val="false"/>
          <w:color w:val="000000"/>
          <w:sz w:val="22"/>
          <w:highlight w:val="white"/>
          <w:u w:val="none"/>
          <w:effect w:val="none"/>
        </w:rPr>
        <w:t>TACGGTAGCAGAGACTTGGTCT</w:t>
      </w:r>
      <w:r>
        <w:rPr>
          <w:rFonts w:ascii="Arial;sans-serif" w:hAnsi="Arial;sans-serif"/>
          <w:b w:val="false"/>
          <w:i w:val="false"/>
          <w:caps w:val="false"/>
          <w:smallCaps w:val="false"/>
          <w:strike w:val="false"/>
          <w:dstrike w:val="false"/>
          <w:color w:val="000000"/>
          <w:sz w:val="22"/>
          <w:highlight w:val="white"/>
          <w:u w:val="none"/>
          <w:effect w:val="none"/>
        </w:rPr>
        <w:t>]GGACTAC</w:t>
      </w:r>
      <w:r>
        <w:rPr>
          <w:rFonts w:ascii="Arial;sans-serif" w:hAnsi="Arial;sans-serif"/>
          <w:b/>
          <w:i w:val="false"/>
          <w:caps w:val="false"/>
          <w:smallCaps w:val="false"/>
          <w:strike w:val="false"/>
          <w:dstrike w:val="false"/>
          <w:color w:val="000000"/>
          <w:sz w:val="22"/>
          <w:highlight w:val="white"/>
          <w:u w:val="none"/>
          <w:effect w:val="none"/>
        </w:rPr>
        <w:t>N</w:t>
      </w:r>
      <w:r>
        <w:rPr>
          <w:rFonts w:ascii="Arial;sans-serif" w:hAnsi="Arial;sans-serif"/>
          <w:b w:val="false"/>
          <w:i w:val="false"/>
          <w:caps w:val="false"/>
          <w:smallCaps w:val="false"/>
          <w:strike w:val="false"/>
          <w:dstrike w:val="false"/>
          <w:color w:val="000000"/>
          <w:sz w:val="22"/>
          <w:highlight w:val="white"/>
          <w:u w:val="none"/>
          <w:effect w:val="none"/>
        </w:rPr>
        <w:t>VGGGTWTCTAAT.</w:t>
      </w:r>
    </w:p>
    <w:p>
      <w:pPr>
        <w:pStyle w:val="TextBody"/>
        <w:bidi w:val="0"/>
        <w:spacing w:lineRule="auto" w:line="331" w:before="0" w:after="0"/>
        <w:jc w:val="both"/>
        <w:rPr>
          <w:b/>
          <w:b/>
        </w:rPr>
      </w:pPr>
      <w:r>
        <w:rPr>
          <w:caps w:val="false"/>
          <w:smallCaps w:val="false"/>
          <w:strike w:val="false"/>
          <w:dstrike w:val="false"/>
          <w:color w:val="000000"/>
          <w:highlight w:val="white"/>
          <w:u w:val="none"/>
          <w:effect w:val="none"/>
        </w:rPr>
        <w:t> </w:t>
      </w:r>
    </w:p>
    <w:p>
      <w:pPr>
        <w:pStyle w:val="TextBody"/>
        <w:bidi w:val="0"/>
        <w:spacing w:lineRule="auto" w:line="331" w:before="0" w:after="0"/>
        <w:jc w:val="both"/>
        <w:rPr>
          <w:b/>
          <w:b/>
        </w:rPr>
      </w:pPr>
      <w:r>
        <w:rPr>
          <w:rFonts w:ascii="Arial;sans-serif" w:hAnsi="Arial;sans-serif"/>
          <w:b w:val="false"/>
          <w:i w:val="false"/>
          <w:caps w:val="false"/>
          <w:smallCaps w:val="false"/>
          <w:strike w:val="false"/>
          <w:dstrike w:val="false"/>
          <w:color w:val="000000"/>
          <w:sz w:val="22"/>
          <w:highlight w:val="white"/>
          <w:u w:val="none"/>
          <w:effect w:val="none"/>
        </w:rPr>
        <w:t xml:space="preserve">Microfluidic PCR amplification was performed with the FastStart™ High Fidelity PCR System, dNTPack (Sigma-Aldrich) in 5 μL final volume of reaction with primers at a final concentration of 250 nM and 10 ng/μL of extracted DNA under the following conditions: 50° for 2 min, 70° for 20 min, 95° for 10 min followed by 10 cycles of 95° for 15 s, 60° for 30 s, 72 °C for 1 min, two cycles 95° for 15 s, 80° for 30 s, 60° for 30 s, 72 °C for 1 min, eight cycles of 95° for 15 s, 60° for 30 s, 72 °C for 1 min, two cycles 95° for 15 s, 80° for 30 s, 60° for 30 s, eight cycles of 95° for 15 s, 60° for 30 s, 72 °C for 1 min and a finally five cycles 95° for 15 s, 80° for 30 s, 60° for 30 s in a FC1 Cycler (Fluidigm, USA). PCR amplicons were cleaned using the magnetic beads </w:t>
      </w:r>
      <w:r>
        <w:rPr>
          <w:rFonts w:ascii="Arial;sans-serif" w:hAnsi="Arial;sans-serif"/>
          <w:b w:val="false"/>
          <w:i w:val="false"/>
          <w:caps w:val="false"/>
          <w:smallCaps w:val="false"/>
          <w:strike w:val="false"/>
          <w:dstrike w:val="false"/>
          <w:color w:val="000000"/>
          <w:sz w:val="22"/>
          <w:u w:val="none"/>
          <w:effect w:val="none"/>
        </w:rPr>
        <w:t>AMPure XP Reagent beads (Beckman Coulter Life Sciences, Krefeld, Germany),</w:t>
      </w:r>
      <w:r>
        <w:rPr>
          <w:caps w:val="false"/>
          <w:smallCaps w:val="false"/>
          <w:strike w:val="false"/>
          <w:dstrike w:val="false"/>
          <w:color w:val="000000"/>
          <w:highlight w:val="white"/>
          <w:u w:val="none"/>
          <w:effect w:val="none"/>
        </w:rPr>
        <w:t xml:space="preserve"> </w:t>
      </w:r>
      <w:r>
        <w:rPr>
          <w:rFonts w:ascii="Arial;sans-serif" w:hAnsi="Arial;sans-serif"/>
          <w:b w:val="false"/>
          <w:i w:val="false"/>
          <w:caps w:val="false"/>
          <w:smallCaps w:val="false"/>
          <w:strike w:val="false"/>
          <w:dstrike w:val="false"/>
          <w:color w:val="000000"/>
          <w:sz w:val="22"/>
          <w:highlight w:val="white"/>
          <w:u w:val="none"/>
          <w:effect w:val="none"/>
        </w:rPr>
        <w:t>following the instructions of the manufacturer and eluted in 40 μL of elution buffer (10 mM Tris pH 8.5). Samples were randomised, including non-template controls (</w:t>
      </w:r>
      <w:r>
        <w:rPr>
          <w:rFonts w:ascii="Arial;sans-serif" w:hAnsi="Arial;sans-serif"/>
          <w:b w:val="false"/>
          <w:i w:val="false"/>
          <w:caps w:val="false"/>
          <w:smallCaps w:val="false"/>
          <w:strike w:val="false"/>
          <w:dstrike w:val="false"/>
          <w:color w:val="000000"/>
          <w:sz w:val="22"/>
          <w:u w:val="none"/>
          <w:effect w:val="none"/>
        </w:rPr>
        <w:t>allowing detection of contaminant DNA introduced during library preparation and PCR amplification)</w:t>
      </w:r>
      <w:r>
        <w:rPr>
          <w:rFonts w:ascii="Arial;sans-serif" w:hAnsi="Arial;sans-serif"/>
          <w:b w:val="false"/>
          <w:i w:val="false"/>
          <w:caps w:val="false"/>
          <w:smallCaps w:val="false"/>
          <w:strike w:val="false"/>
          <w:dstrike w:val="false"/>
          <w:color w:val="000000"/>
          <w:sz w:val="22"/>
          <w:highlight w:val="white"/>
          <w:u w:val="none"/>
          <w:effect w:val="none"/>
        </w:rPr>
        <w:t xml:space="preserve">. Negative </w:t>
      </w:r>
      <w:r>
        <w:rPr>
          <w:rFonts w:ascii="Arial;sans-serif" w:hAnsi="Arial;sans-serif"/>
          <w:b w:val="false"/>
          <w:i w:val="false"/>
          <w:caps w:val="false"/>
          <w:smallCaps w:val="false"/>
          <w:strike w:val="false"/>
          <w:dstrike w:val="false"/>
          <w:color w:val="000000"/>
          <w:sz w:val="22"/>
          <w:u w:val="none"/>
          <w:effect w:val="none"/>
        </w:rPr>
        <w:t>controls were processed and sequenced alongside the biological samples</w:t>
      </w:r>
      <w:r>
        <w:rPr>
          <w:rFonts w:ascii="Arial;sans-serif" w:hAnsi="Arial;sans-serif"/>
          <w:b w:val="false"/>
          <w:i w:val="false"/>
          <w:caps w:val="false"/>
          <w:smallCaps w:val="false"/>
          <w:strike w:val="false"/>
          <w:dstrike w:val="false"/>
          <w:color w:val="000000"/>
          <w:sz w:val="22"/>
          <w:highlight w:val="white"/>
          <w:u w:val="none"/>
          <w:effect w:val="none"/>
        </w:rPr>
        <w:t>. Indexing was performed by a second PCR using 5 μL of the purified PCR products employing Access Array indexing primers (Fluidigm, USA). The second PCR was run at 95° for 3 min followed by 8 cycles of 95° for 30 s, 60° for 30 s, 72° for 30 s and a final extension at 72° for 10 min. Indexed amplicons were purified with magnetic beads</w:t>
      </w:r>
      <w:r>
        <w:rPr>
          <w:caps w:val="false"/>
          <w:smallCaps w:val="false"/>
          <w:strike w:val="false"/>
          <w:dstrike w:val="false"/>
          <w:color w:val="000000"/>
          <w:u w:val="none"/>
          <w:effect w:val="none"/>
        </w:rPr>
        <w:t xml:space="preserve"> </w:t>
      </w:r>
      <w:r>
        <w:rPr>
          <w:rFonts w:ascii="Arial;sans-serif" w:hAnsi="Arial;sans-serif"/>
          <w:b w:val="false"/>
          <w:i w:val="false"/>
          <w:caps w:val="false"/>
          <w:smallCaps w:val="false"/>
          <w:strike w:val="false"/>
          <w:dstrike w:val="false"/>
          <w:color w:val="000000"/>
          <w:sz w:val="22"/>
          <w:highlight w:val="white"/>
          <w:u w:val="none"/>
          <w:effect w:val="none"/>
        </w:rPr>
        <w:t>and quantified using a Qubit 2.0 fluorometer with the dsDNA high sensitivity assay kit (Thermo Scientific, USA). Libraries were created by pooling each sample in equimolar concentrations. Quality and integrity of the final library was verified using the Agilent 2200 TapeStation with D1000 ScreenTapes (Agilent Technologies, USA). The pooled library was sequenced at the Berlin Centre for Genomics and Biodiversity Research (BeGenDiv) on the Illumina MiSeq platform using MiSeq v2 (500 cycles) reagent kit for 2 x 250 bp paired-end reads.</w:t>
      </w:r>
    </w:p>
    <w:p>
      <w:pPr>
        <w:pStyle w:val="TextBody"/>
        <w:rPr>
          <w:b/>
          <w:b/>
        </w:rPr>
      </w:pPr>
      <w:r>
        <w:rPr>
          <w:b/>
        </w:rPr>
      </w:r>
    </w:p>
    <w:p>
      <w:pPr>
        <w:pStyle w:val="TextBody"/>
        <w:bidi w:val="0"/>
        <w:spacing w:lineRule="auto" w:line="331" w:before="0" w:after="0"/>
        <w:jc w:val="both"/>
        <w:rPr>
          <w:b/>
          <w:b/>
        </w:rPr>
      </w:pPr>
      <w:r>
        <w:rPr>
          <w:rFonts w:ascii="Arial;sans-serif" w:hAnsi="Arial;sans-serif"/>
          <w:b/>
          <w:i/>
          <w:caps w:val="false"/>
          <w:smallCaps w:val="false"/>
          <w:strike w:val="false"/>
          <w:dstrike w:val="false"/>
          <w:color w:val="000000"/>
          <w:sz w:val="22"/>
          <w:u w:val="none"/>
          <w:effect w:val="none"/>
        </w:rPr>
        <w:t>S1.3 Sequence analysis</w:t>
      </w:r>
    </w:p>
    <w:p>
      <w:pPr>
        <w:pStyle w:val="TextBody"/>
        <w:bidi w:val="0"/>
        <w:spacing w:lineRule="auto" w:line="331" w:before="0" w:after="0"/>
        <w:jc w:val="both"/>
        <w:rPr>
          <w:b/>
          <w:b/>
        </w:rPr>
      </w:pPr>
      <w:r>
        <w:rPr>
          <w:rFonts w:ascii="Arial;sans-serif" w:hAnsi="Arial;sans-serif"/>
          <w:b w:val="false"/>
          <w:i w:val="false"/>
          <w:caps w:val="false"/>
          <w:smallCaps w:val="false"/>
          <w:strike w:val="false"/>
          <w:dstrike w:val="false"/>
          <w:color w:val="000000"/>
          <w:sz w:val="22"/>
          <w:u w:val="none"/>
          <w:effect w:val="none"/>
        </w:rPr>
        <w:t>Sequencing reads processing, from quality control to taxonomic assignment of amplicon sequence variants (ASVs) was performed using the DADA2 pipeline in R (v1.18) (Callahan et al 2016). In brief, both sequencing reads, forward and reverse, were trimmed to a length of 240 bp., allowing a maximum error of 2 nucleotides and zero ambiguous nucleotides (maxN=0, maxEE=2, truncQ=2). Taxonomy was assigned to the inferred ASVs using BLAST+ under an unbiased reference assignment to the non-redundant GenBank database. Assigned ASVs taxonomy, ASVs abundance and sample metadata were compiled into a single object using the package phyloseq v1.34.0 (McMurdie and Holmes, 2013). Before data analysis, an additional filter to eliminate 1) ASVs not assigned as Bacteria or "uncharacterized" ASVs at Phylum level and 2) low prevalent ASVs (less than ten samples, ~ 1.75%) was applied. To estimate alpha diversity metrics (observed richness, Chao1, Shannon, and Simpson indices) the dataset was rarefied to a threshold of 500 read depth based on rarefaction curves to ensure saturation of at least 70% of the samples. All further analyses employed the samples passing this pre-processing.</w:t>
      </w:r>
    </w:p>
    <w:p>
      <w:pPr>
        <w:pStyle w:val="TextBody"/>
        <w:rPr>
          <w:b/>
          <w:b/>
        </w:rPr>
      </w:pPr>
      <w:r>
        <w:rPr>
          <w:b/>
        </w:rPr>
      </w:r>
    </w:p>
    <w:p>
      <w:pPr>
        <w:pStyle w:val="TextBody"/>
        <w:bidi w:val="0"/>
        <w:spacing w:lineRule="auto" w:line="288" w:before="0" w:after="0"/>
        <w:jc w:val="both"/>
        <w:rPr>
          <w:b/>
          <w:b/>
        </w:rPr>
      </w:pPr>
      <w:r>
        <w:rPr>
          <w:rFonts w:ascii="Arial;sans-serif" w:hAnsi="Arial;sans-serif"/>
          <w:b/>
          <w:i/>
          <w:caps w:val="false"/>
          <w:smallCaps w:val="false"/>
          <w:strike w:val="false"/>
          <w:dstrike w:val="false"/>
          <w:color w:val="000000"/>
          <w:sz w:val="22"/>
          <w:u w:val="none"/>
          <w:effect w:val="none"/>
        </w:rPr>
        <w:t>S1.4 ARG prediction</w:t>
      </w:r>
    </w:p>
    <w:p>
      <w:pPr>
        <w:pStyle w:val="TextBody"/>
        <w:bidi w:val="0"/>
        <w:spacing w:lineRule="auto" w:line="331" w:before="0" w:after="0"/>
        <w:jc w:val="both"/>
        <w:rPr>
          <w:b/>
          <w:b/>
        </w:rPr>
      </w:pPr>
      <w:r>
        <w:rPr>
          <w:rFonts w:ascii="Arial;sans-serif" w:hAnsi="Arial;sans-serif"/>
          <w:b w:val="false"/>
          <w:i w:val="false"/>
          <w:caps w:val="false"/>
          <w:smallCaps w:val="false"/>
          <w:strike w:val="false"/>
          <w:dstrike w:val="false"/>
          <w:color w:val="0E101A"/>
          <w:sz w:val="22"/>
          <w:u w:val="none"/>
          <w:effect w:val="none"/>
        </w:rPr>
        <w:t>PICRUSt2 (Phylogenetic Investigation of Communities by Reconstruction of Unobserved States) pipeline v2.5.1 (Douglas et al., 2020) was used to infer the functional metabolic profiles of the bacterial communities of house mice microbiomes. This pipeline uses the 16S rRNA taxonomic profiles (ASVs) to predict functional gene families and abundance normalised by 16S copy numbers within a sample based on the Kyoto Encyclopaedia of Genes and Genomes (KEGG) abundances per sample. To determine the predicted “resistome”, consisting of ARGs involved in antibiotic resistance and regulatory genes associated with ARGs, hereafter referred only as ARGs, were subsetted from the predicted functional profile using an inclusion list with 103 KEGG orthologs (KO) numbers as described in the CARD database. ARGs or ARG cluster abundance is expressed as KO counts normalised by predicted 16S copy number abundances.</w:t>
      </w:r>
    </w:p>
    <w:p>
      <w:pPr>
        <w:pStyle w:val="TextBody"/>
        <w:rPr>
          <w:b/>
          <w:b/>
        </w:rPr>
      </w:pPr>
      <w:r>
        <w:rPr>
          <w:b/>
        </w:rPr>
      </w:r>
    </w:p>
    <w:p>
      <w:pPr>
        <w:pStyle w:val="TextBody"/>
        <w:bidi w:val="0"/>
        <w:spacing w:lineRule="auto" w:line="331" w:before="0" w:after="0"/>
        <w:jc w:val="both"/>
        <w:rPr>
          <w:b/>
          <w:b/>
        </w:rPr>
      </w:pPr>
      <w:r>
        <w:rPr>
          <w:rFonts w:ascii="Arial;sans-serif" w:hAnsi="Arial;sans-serif"/>
          <w:b/>
          <w:i/>
          <w:caps w:val="false"/>
          <w:smallCaps w:val="false"/>
          <w:strike w:val="false"/>
          <w:dstrike w:val="false"/>
          <w:color w:val="000000"/>
          <w:sz w:val="22"/>
          <w:u w:val="none"/>
          <w:effect w:val="none"/>
        </w:rPr>
        <w:t>S1.5 Diversity, composition and statistical analysis</w:t>
      </w:r>
    </w:p>
    <w:p>
      <w:pPr>
        <w:pStyle w:val="TextBody"/>
        <w:bidi w:val="0"/>
        <w:spacing w:lineRule="auto" w:line="331" w:before="0" w:after="0"/>
        <w:jc w:val="both"/>
        <w:rPr>
          <w:b/>
          <w:b/>
        </w:rPr>
      </w:pPr>
      <w:r>
        <w:rPr>
          <w:rFonts w:ascii="Arial;sans-serif" w:hAnsi="Arial;sans-serif"/>
          <w:b w:val="false"/>
          <w:i w:val="false"/>
          <w:caps w:val="false"/>
          <w:smallCaps w:val="false"/>
          <w:strike w:val="false"/>
          <w:dstrike w:val="false"/>
          <w:color w:val="000000"/>
          <w:sz w:val="22"/>
          <w:u w:val="none"/>
          <w:effect w:val="none"/>
        </w:rPr>
        <w:t xml:space="preserve">Host genotype was measured in two ways: hybrid index (HI) and hybridicity. HI represents the interspecific heterozygosity and is measured as the proportion of </w:t>
      </w:r>
      <w:r>
        <w:rPr>
          <w:rFonts w:ascii="Arial;sans-serif" w:hAnsi="Arial;sans-serif"/>
          <w:b w:val="false"/>
          <w:i/>
          <w:caps w:val="false"/>
          <w:smallCaps w:val="false"/>
          <w:strike w:val="false"/>
          <w:dstrike w:val="false"/>
          <w:color w:val="000000"/>
          <w:sz w:val="22"/>
          <w:u w:val="none"/>
          <w:effect w:val="none"/>
        </w:rPr>
        <w:t xml:space="preserve">Mus musculus musculus </w:t>
      </w:r>
      <w:r>
        <w:rPr>
          <w:rFonts w:ascii="Arial;sans-serif" w:hAnsi="Arial;sans-serif"/>
          <w:b w:val="false"/>
          <w:i w:val="false"/>
          <w:caps w:val="false"/>
          <w:smallCaps w:val="false"/>
          <w:strike w:val="false"/>
          <w:dstrike w:val="false"/>
          <w:color w:val="000000"/>
          <w:sz w:val="22"/>
          <w:u w:val="none"/>
          <w:effect w:val="none"/>
        </w:rPr>
        <w:t xml:space="preserve">alleles in a set of 14 diagnostic markers (Macholán et al., 2007; Baird et al., 2012) Based on their HI, we analysed pure </w:t>
      </w:r>
      <w:r>
        <w:rPr>
          <w:rFonts w:ascii="Arial;sans-serif" w:hAnsi="Arial;sans-serif"/>
          <w:b w:val="false"/>
          <w:i/>
          <w:caps w:val="false"/>
          <w:smallCaps w:val="false"/>
          <w:strike w:val="false"/>
          <w:dstrike w:val="false"/>
          <w:color w:val="000000"/>
          <w:sz w:val="22"/>
          <w:u w:val="none"/>
          <w:effect w:val="none"/>
        </w:rPr>
        <w:t>Mmd</w:t>
      </w:r>
      <w:r>
        <w:rPr>
          <w:caps w:val="false"/>
          <w:smallCaps w:val="false"/>
          <w:strike w:val="false"/>
          <w:dstrike w:val="false"/>
          <w:color w:val="000000"/>
          <w:u w:val="none"/>
          <w:effect w:val="none"/>
        </w:rPr>
        <w:t xml:space="preserve"> </w:t>
      </w:r>
      <w:r>
        <w:rPr>
          <w:rFonts w:ascii="Arial;sans-serif" w:hAnsi="Arial;sans-serif"/>
          <w:b w:val="false"/>
          <w:i w:val="false"/>
          <w:caps w:val="false"/>
          <w:smallCaps w:val="false"/>
          <w:strike w:val="false"/>
          <w:dstrike w:val="false"/>
          <w:color w:val="000000"/>
          <w:sz w:val="22"/>
          <w:u w:val="none"/>
          <w:effect w:val="none"/>
        </w:rPr>
        <w:t>(</w:t>
      </w:r>
      <w:r>
        <w:rPr>
          <w:rFonts w:ascii="Arial;sans-serif" w:hAnsi="Arial;sans-serif"/>
          <w:b w:val="false"/>
          <w:i/>
          <w:caps w:val="false"/>
          <w:smallCaps w:val="false"/>
          <w:strike w:val="false"/>
          <w:dstrike w:val="false"/>
          <w:color w:val="000000"/>
          <w:sz w:val="22"/>
          <w:u w:val="none"/>
          <w:effect w:val="none"/>
        </w:rPr>
        <w:t>N</w:t>
      </w:r>
      <w:r>
        <w:rPr>
          <w:rFonts w:ascii="Arial;sans-serif" w:hAnsi="Arial;sans-serif"/>
          <w:b w:val="false"/>
          <w:i w:val="false"/>
          <w:caps w:val="false"/>
          <w:smallCaps w:val="false"/>
          <w:strike w:val="false"/>
          <w:dstrike w:val="false"/>
          <w:color w:val="000000"/>
          <w:sz w:val="22"/>
          <w:u w:val="none"/>
          <w:effect w:val="none"/>
        </w:rPr>
        <w:t xml:space="preserve">= 79), pure </w:t>
      </w:r>
      <w:r>
        <w:rPr>
          <w:rFonts w:ascii="Arial;sans-serif" w:hAnsi="Arial;sans-serif"/>
          <w:b w:val="false"/>
          <w:i/>
          <w:caps w:val="false"/>
          <w:smallCaps w:val="false"/>
          <w:strike w:val="false"/>
          <w:dstrike w:val="false"/>
          <w:color w:val="000000"/>
          <w:sz w:val="22"/>
          <w:u w:val="none"/>
          <w:effect w:val="none"/>
        </w:rPr>
        <w:t>Mmm</w:t>
      </w:r>
      <w:r>
        <w:rPr>
          <w:caps w:val="false"/>
          <w:smallCaps w:val="false"/>
          <w:strike w:val="false"/>
          <w:dstrike w:val="false"/>
          <w:color w:val="000000"/>
          <w:u w:val="none"/>
          <w:effect w:val="none"/>
        </w:rPr>
        <w:t xml:space="preserve"> </w:t>
      </w:r>
      <w:r>
        <w:rPr>
          <w:rFonts w:ascii="Arial;sans-serif" w:hAnsi="Arial;sans-serif"/>
          <w:b w:val="false"/>
          <w:i w:val="false"/>
          <w:caps w:val="false"/>
          <w:smallCaps w:val="false"/>
          <w:strike w:val="false"/>
          <w:dstrike w:val="false"/>
          <w:color w:val="000000"/>
          <w:sz w:val="22"/>
          <w:u w:val="none"/>
          <w:effect w:val="none"/>
        </w:rPr>
        <w:t>(</w:t>
      </w:r>
      <w:r>
        <w:rPr>
          <w:rFonts w:ascii="Arial;sans-serif" w:hAnsi="Arial;sans-serif"/>
          <w:b w:val="false"/>
          <w:i/>
          <w:caps w:val="false"/>
          <w:smallCaps w:val="false"/>
          <w:strike w:val="false"/>
          <w:dstrike w:val="false"/>
          <w:color w:val="000000"/>
          <w:sz w:val="22"/>
          <w:u w:val="none"/>
          <w:effect w:val="none"/>
        </w:rPr>
        <w:t>N</w:t>
      </w:r>
      <w:r>
        <w:rPr>
          <w:rFonts w:ascii="Arial;sans-serif" w:hAnsi="Arial;sans-serif"/>
          <w:b w:val="false"/>
          <w:i w:val="false"/>
          <w:caps w:val="false"/>
          <w:smallCaps w:val="false"/>
          <w:strike w:val="false"/>
          <w:dstrike w:val="false"/>
          <w:color w:val="000000"/>
          <w:sz w:val="22"/>
          <w:u w:val="none"/>
          <w:effect w:val="none"/>
        </w:rPr>
        <w:t>= 23) and hybrid (</w:t>
      </w:r>
      <w:r>
        <w:rPr>
          <w:rFonts w:ascii="Arial;sans-serif" w:hAnsi="Arial;sans-serif"/>
          <w:b w:val="false"/>
          <w:i/>
          <w:caps w:val="false"/>
          <w:smallCaps w:val="false"/>
          <w:strike w:val="false"/>
          <w:dstrike w:val="false"/>
          <w:color w:val="000000"/>
          <w:sz w:val="22"/>
          <w:u w:val="none"/>
          <w:effect w:val="none"/>
        </w:rPr>
        <w:t>N</w:t>
      </w:r>
      <w:r>
        <w:rPr>
          <w:rFonts w:ascii="Arial;sans-serif" w:hAnsi="Arial;sans-serif"/>
          <w:b w:val="false"/>
          <w:i w:val="false"/>
          <w:caps w:val="false"/>
          <w:smallCaps w:val="false"/>
          <w:strike w:val="false"/>
          <w:dstrike w:val="false"/>
          <w:color w:val="000000"/>
          <w:sz w:val="22"/>
          <w:u w:val="none"/>
          <w:effect w:val="none"/>
        </w:rPr>
        <w:t>= 391)</w:t>
      </w:r>
    </w:p>
    <w:p>
      <w:pPr>
        <w:pStyle w:val="TextBody"/>
        <w:bidi w:val="0"/>
        <w:spacing w:lineRule="auto" w:line="331" w:before="0" w:after="0"/>
        <w:jc w:val="both"/>
        <w:rPr>
          <w:b/>
          <w:b/>
        </w:rPr>
      </w:pPr>
      <w:r>
        <w:rPr>
          <w:rFonts w:ascii="Arial;sans-serif" w:hAnsi="Arial;sans-serif"/>
          <w:b w:val="false"/>
          <w:i w:val="false"/>
          <w:caps w:val="false"/>
          <w:smallCaps w:val="false"/>
          <w:strike w:val="false"/>
          <w:dstrike w:val="false"/>
          <w:color w:val="000000"/>
          <w:sz w:val="22"/>
          <w:u w:val="none"/>
          <w:effect w:val="none"/>
        </w:rPr>
        <w:t xml:space="preserve">mice. Hybridicity (absolute value of HI - 0.5) represents how close an individual is to a 50% contribution from both parental subspecies, ranging from 0 (pure hybrid genotype) to 0.5 (pure parental subspecies). This second measure allows analyses to be performed on a linear scale. </w:t>
      </w:r>
      <w:r>
        <w:rPr>
          <w:rFonts w:ascii="Arial;sans-serif" w:hAnsi="Arial;sans-serif"/>
          <w:b w:val="false"/>
          <w:i w:val="false"/>
          <w:caps w:val="false"/>
          <w:smallCaps w:val="false"/>
          <w:strike w:val="false"/>
          <w:dstrike w:val="false"/>
          <w:color w:val="0E101A"/>
          <w:sz w:val="22"/>
          <w:u w:val="none"/>
          <w:effect w:val="none"/>
        </w:rPr>
        <w:t xml:space="preserve">To determine the relative influence of host and sampling derived factors on alpha diversity metrics, we used nested linear model comparison with richness (Chao1 index), diversity (Shannon index) and evenness (Simpson index) as response variables and hybridicity, year of sampling, and location of origin, bacterial richness, Firmicutes, Bacteroidetes and Proteobacteria abundance of as predictors. Models were compared by likelihood ratio test (LRT) to determine whether each parameter was significant. To determine the variation explained </w:t>
      </w:r>
      <w:r>
        <w:rPr>
          <w:rFonts w:eastAsia="Noto Serif CJK SC" w:cs="Lohit Devanagari" w:ascii="Arial;sans-serif" w:hAnsi="Arial;sans-serif"/>
          <w:b w:val="false"/>
          <w:i w:val="false"/>
          <w:caps w:val="false"/>
          <w:smallCaps w:val="false"/>
          <w:strike w:val="false"/>
          <w:dstrike w:val="false"/>
          <w:color w:val="0E101A"/>
          <w:kern w:val="2"/>
          <w:sz w:val="22"/>
          <w:szCs w:val="24"/>
          <w:u w:val="none"/>
          <w:effect w:val="none"/>
          <w:lang w:val="en-US" w:eastAsia="zh-CN" w:bidi="hi-IN"/>
        </w:rPr>
        <w:t>by each of the</w:t>
      </w:r>
      <w:r>
        <w:rPr>
          <w:rFonts w:ascii="Arial;sans-serif" w:hAnsi="Arial;sans-serif"/>
          <w:b w:val="false"/>
          <w:i w:val="false"/>
          <w:caps w:val="false"/>
          <w:smallCaps w:val="false"/>
          <w:strike w:val="false"/>
          <w:dstrike w:val="false"/>
          <w:color w:val="0E101A"/>
          <w:sz w:val="22"/>
          <w:u w:val="none"/>
          <w:effect w:val="none"/>
        </w:rPr>
        <w:t xml:space="preserve"> predictors in the linear models, we calculate </w:t>
      </w:r>
      <w:r>
        <w:rPr>
          <w:rFonts w:eastAsia="Noto Serif CJK SC" w:cs="Lohit Devanagari" w:ascii="Arial;sans-serif" w:hAnsi="Arial;sans-serif"/>
          <w:b w:val="false"/>
          <w:i w:val="false"/>
          <w:caps w:val="false"/>
          <w:smallCaps w:val="false"/>
          <w:strike w:val="false"/>
          <w:dstrike w:val="false"/>
          <w:color w:val="0E101A"/>
          <w:kern w:val="2"/>
          <w:sz w:val="22"/>
          <w:szCs w:val="24"/>
          <w:u w:val="none"/>
          <w:effect w:val="none"/>
          <w:lang w:val="en-US" w:eastAsia="zh-CN" w:bidi="hi-IN"/>
        </w:rPr>
        <w:t>t</w:t>
      </w:r>
      <w:r>
        <w:rPr>
          <w:rFonts w:ascii="Arial;sans-serif" w:hAnsi="Arial;sans-serif"/>
          <w:b w:val="false"/>
          <w:i w:val="false"/>
          <w:caps w:val="false"/>
          <w:smallCaps w:val="false"/>
          <w:strike w:val="false"/>
          <w:dstrike w:val="false"/>
          <w:color w:val="0E101A"/>
          <w:sz w:val="22"/>
          <w:u w:val="none"/>
          <w:effect w:val="none"/>
        </w:rPr>
        <w:t>he coefficient of determination (</w:t>
      </w:r>
      <w:r>
        <w:rPr>
          <w:rFonts w:ascii="Arial;sans-serif" w:hAnsi="Arial;sans-serif"/>
          <w:b w:val="false"/>
          <w:i/>
          <w:iCs/>
          <w:caps w:val="false"/>
          <w:smallCaps w:val="false"/>
          <w:strike w:val="false"/>
          <w:dstrike w:val="false"/>
          <w:color w:val="0E101A"/>
          <w:sz w:val="22"/>
          <w:u w:val="none"/>
          <w:effect w:val="none"/>
        </w:rPr>
        <w:t>R</w:t>
      </w:r>
      <w:r>
        <w:rPr>
          <w:rFonts w:ascii="Arial;sans-serif" w:hAnsi="Arial;sans-serif"/>
          <w:b w:val="false"/>
          <w:i w:val="false"/>
          <w:caps w:val="false"/>
          <w:smallCaps w:val="false"/>
          <w:strike w:val="false"/>
          <w:dstrike w:val="false"/>
          <w:color w:val="0E101A"/>
          <w:sz w:val="22"/>
          <w:u w:val="none"/>
          <w:effect w:val="none"/>
          <w:vertAlign w:val="superscript"/>
        </w:rPr>
        <w:t>2</w:t>
      </w:r>
      <w:r>
        <w:rPr>
          <w:rFonts w:ascii="Arial;sans-serif" w:hAnsi="Arial;sans-serif"/>
          <w:b w:val="false"/>
          <w:i w:val="false"/>
          <w:caps w:val="false"/>
          <w:smallCaps w:val="false"/>
          <w:strike w:val="false"/>
          <w:dstrike w:val="false"/>
          <w:color w:val="0E101A"/>
          <w:sz w:val="22"/>
          <w:u w:val="none"/>
          <w:effect w:val="none"/>
        </w:rPr>
        <w:t>).</w:t>
      </w:r>
      <w:r>
        <w:rPr>
          <w:rFonts w:ascii="Arial;sans-serif" w:hAnsi="Arial;sans-serif"/>
          <w:b w:val="false"/>
          <w:i w:val="false"/>
          <w:caps w:val="false"/>
          <w:smallCaps w:val="false"/>
          <w:strike w:val="false"/>
          <w:dstrike w:val="false"/>
          <w:color w:val="0E101A"/>
          <w:sz w:val="22"/>
          <w:u w:val="none"/>
          <w:effect w:val="none"/>
        </w:rPr>
        <w:t xml:space="preserve"> All alpha diversity metrics were estimated based on the asymptotic </w:t>
      </w:r>
      <w:r>
        <w:rPr>
          <w:rFonts w:eastAsia="Noto Serif CJK SC" w:cs="Lohit Devanagari" w:ascii="Arial;sans-serif" w:hAnsi="Arial;sans-serif"/>
          <w:b w:val="false"/>
          <w:i w:val="false"/>
          <w:caps w:val="false"/>
          <w:smallCaps w:val="false"/>
          <w:strike w:val="false"/>
          <w:dstrike w:val="false"/>
          <w:color w:val="0E101A"/>
          <w:kern w:val="2"/>
          <w:sz w:val="22"/>
          <w:szCs w:val="24"/>
          <w:u w:val="none"/>
          <w:effect w:val="none"/>
          <w:lang w:val="en-US" w:eastAsia="zh-CN" w:bidi="hi-IN"/>
        </w:rPr>
        <w:t>rarefied</w:t>
      </w:r>
      <w:r>
        <w:rPr>
          <w:rFonts w:ascii="Arial;sans-serif" w:hAnsi="Arial;sans-serif"/>
          <w:b w:val="false"/>
          <w:i w:val="false"/>
          <w:caps w:val="false"/>
          <w:smallCaps w:val="false"/>
          <w:strike w:val="false"/>
          <w:dstrike w:val="false"/>
          <w:color w:val="0E101A"/>
          <w:sz w:val="22"/>
          <w:u w:val="none"/>
          <w:effect w:val="none"/>
        </w:rPr>
        <w:t xml:space="preserve"> ASVs and predicted ARGs. </w:t>
      </w:r>
      <w:r>
        <w:rPr>
          <w:rFonts w:ascii="Arial;sans-serif" w:hAnsi="Arial;sans-serif"/>
          <w:b w:val="false"/>
          <w:i w:val="false"/>
          <w:caps w:val="false"/>
          <w:smallCaps w:val="false"/>
          <w:strike w:val="false"/>
          <w:dstrike w:val="false"/>
          <w:color w:val="0E101A"/>
          <w:sz w:val="22"/>
          <w:u w:val="none"/>
          <w:effect w:val="none"/>
        </w:rPr>
        <w:t>To test for the effects of host genetic (hybridicity) and temporal (year) and geographical (locality) variables on the bacterial and ARG community structure, we performed a permutational multivariate analysis of variance (</w:t>
      </w:r>
      <w:r>
        <w:rPr>
          <w:rFonts w:ascii="Arial;sans-serif" w:hAnsi="Arial;sans-serif"/>
          <w:b w:val="false"/>
          <w:i w:val="false"/>
          <w:caps w:val="false"/>
          <w:smallCaps w:val="false"/>
          <w:strike w:val="false"/>
          <w:dstrike w:val="false"/>
          <w:color w:val="000000"/>
          <w:sz w:val="22"/>
          <w:u w:val="none"/>
          <w:effect w:val="none"/>
        </w:rPr>
        <w:t>PERMANOVA) on the bacterial and ARG beta-diversity. We used Bray-Curtis dissimilarity distances (999 permutations) implemented with the function adonis2 from the package vegan v2.5-7 (Oksanen et al. 2007) and we group for Locality within which to constrain permutations, while testing its relative impact on compositional changes.</w:t>
      </w:r>
    </w:p>
    <w:p>
      <w:pPr>
        <w:pStyle w:val="TextBody"/>
        <w:rPr>
          <w:b/>
          <w:b/>
        </w:rPr>
      </w:pPr>
      <w:r>
        <w:rPr>
          <w:b/>
        </w:rPr>
      </w:r>
    </w:p>
    <w:p>
      <w:pPr>
        <w:pStyle w:val="TextBody"/>
        <w:bidi w:val="0"/>
        <w:spacing w:lineRule="auto" w:line="288" w:before="0" w:after="0"/>
        <w:jc w:val="both"/>
        <w:rPr>
          <w:b/>
          <w:b/>
        </w:rPr>
      </w:pPr>
      <w:r>
        <w:rPr>
          <w:rFonts w:ascii="Arial;sans-serif" w:hAnsi="Arial;sans-serif"/>
          <w:b/>
          <w:i/>
          <w:caps w:val="false"/>
          <w:smallCaps w:val="false"/>
          <w:strike w:val="false"/>
          <w:dstrike w:val="false"/>
          <w:color w:val="000000"/>
          <w:sz w:val="22"/>
          <w:u w:val="none"/>
          <w:effect w:val="none"/>
        </w:rPr>
        <w:t>S1.6 Taxa-ARG co-abundance network analysis</w:t>
      </w:r>
    </w:p>
    <w:p>
      <w:pPr>
        <w:pStyle w:val="TextBody"/>
        <w:bidi w:val="0"/>
        <w:spacing w:lineRule="auto" w:line="331" w:before="0" w:after="0"/>
        <w:jc w:val="both"/>
        <w:rPr>
          <w:b/>
          <w:b/>
        </w:rPr>
      </w:pPr>
      <w:r>
        <w:rPr>
          <w:rFonts w:ascii="Arial;sans-serif" w:hAnsi="Arial;sans-serif"/>
          <w:b w:val="false"/>
          <w:i w:val="false"/>
          <w:caps w:val="false"/>
          <w:smallCaps w:val="false"/>
          <w:strike w:val="false"/>
          <w:dstrike w:val="false"/>
          <w:color w:val="0E101A"/>
          <w:sz w:val="22"/>
          <w:u w:val="none"/>
          <w:effect w:val="none"/>
        </w:rPr>
        <w:t xml:space="preserve">Co-abundance network analysis was used to identify: 1) potential ecologically relevant taxa-ARG associations and 2) individual taxa and ARG that significantly affect community structure. ASV and ARG abundance were filtered to 0.001% (at least 10 and 52 counts for ASV and ARG abundance, respectively) and to 10% prevalence (present in at least six samples) to reduce sparsity and ensure robustness. Co-abundance networks were created with the package SpiecEasi (Kurtz et al. 2015) using the “mb” neighbourhood selection method. We used the extended spiec.easi method for multiple microbial domains to construct the taxa-ARG network (Tipton et al. 2018). An optimal lambda coefficient was observed at 0.234 for the taxa-ARG network. Network and topological evaluations were done using </w:t>
      </w:r>
      <w:r>
        <w:rPr>
          <w:rFonts w:ascii="Arial;sans-serif" w:hAnsi="Arial;sans-serif"/>
          <w:b w:val="false"/>
          <w:i/>
          <w:caps w:val="false"/>
          <w:smallCaps w:val="false"/>
          <w:strike w:val="false"/>
          <w:dstrike w:val="false"/>
          <w:color w:val="0E101A"/>
          <w:sz w:val="22"/>
          <w:u w:val="none"/>
          <w:effect w:val="none"/>
        </w:rPr>
        <w:t xml:space="preserve">igraph </w:t>
      </w:r>
      <w:r>
        <w:rPr>
          <w:rFonts w:ascii="Arial;sans-serif" w:hAnsi="Arial;sans-serif"/>
          <w:b w:val="false"/>
          <w:i w:val="false"/>
          <w:caps w:val="false"/>
          <w:smallCaps w:val="false"/>
          <w:strike w:val="false"/>
          <w:dstrike w:val="false"/>
          <w:color w:val="0E101A"/>
          <w:sz w:val="22"/>
          <w:u w:val="none"/>
          <w:effect w:val="none"/>
        </w:rPr>
        <w:t>version 1.3.1 (Csardi and Nepusz, 2006). All analyses were done at ASV and ARG levels. We calculated modules based on the fast greedy modularity optimization algorithm (Clauset et al. 2004).</w:t>
      </w:r>
    </w:p>
    <w:p>
      <w:pPr>
        <w:pStyle w:val="TextBody"/>
        <w:rPr>
          <w:b/>
          <w:b/>
        </w:rPr>
      </w:pPr>
      <w:r>
        <w:rPr>
          <w:b/>
        </w:rPr>
      </w:r>
    </w:p>
    <w:p>
      <w:pPr>
        <w:pStyle w:val="TextBody"/>
        <w:bidi w:val="0"/>
        <w:spacing w:lineRule="auto" w:line="331" w:before="0" w:after="0"/>
        <w:jc w:val="both"/>
        <w:rPr>
          <w:b/>
          <w:b/>
        </w:rPr>
      </w:pPr>
      <w:r>
        <w:rPr>
          <w:rFonts w:ascii="Arial;sans-serif" w:hAnsi="Arial;sans-serif"/>
          <w:b/>
          <w:i w:val="false"/>
          <w:caps w:val="false"/>
          <w:smallCaps w:val="false"/>
          <w:strike w:val="false"/>
          <w:dstrike w:val="false"/>
          <w:color w:val="000000"/>
          <w:sz w:val="22"/>
          <w:u w:val="none"/>
          <w:effect w:val="none"/>
        </w:rPr>
        <w:t xml:space="preserve">S1.7 </w:t>
      </w:r>
      <w:r>
        <w:rPr>
          <w:rFonts w:ascii="Arial;sans-serif" w:hAnsi="Arial;sans-serif"/>
          <w:b/>
          <w:i/>
          <w:caps w:val="false"/>
          <w:smallCaps w:val="false"/>
          <w:strike w:val="false"/>
          <w:dstrike w:val="false"/>
          <w:color w:val="000000"/>
          <w:sz w:val="22"/>
          <w:u w:val="none"/>
          <w:effect w:val="none"/>
        </w:rPr>
        <w:t>Maximum likelihood analysis of non-linear effects of hybridi</w:t>
      </w:r>
      <w:r>
        <w:rPr>
          <w:rFonts w:eastAsia="Noto Serif CJK SC" w:cs="Lohit Devanagari" w:ascii="Arial;sans-serif" w:hAnsi="Arial;sans-serif"/>
          <w:b/>
          <w:i/>
          <w:caps w:val="false"/>
          <w:smallCaps w:val="false"/>
          <w:strike w:val="false"/>
          <w:dstrike w:val="false"/>
          <w:color w:val="000000"/>
          <w:kern w:val="2"/>
          <w:sz w:val="22"/>
          <w:szCs w:val="24"/>
          <w:u w:val="none"/>
          <w:effect w:val="none"/>
          <w:lang w:val="en-US" w:eastAsia="zh-CN" w:bidi="hi-IN"/>
        </w:rPr>
        <w:t>s</w:t>
      </w:r>
      <w:r>
        <w:rPr>
          <w:rFonts w:ascii="Arial;sans-serif" w:hAnsi="Arial;sans-serif"/>
          <w:b/>
          <w:i/>
          <w:caps w:val="false"/>
          <w:smallCaps w:val="false"/>
          <w:strike w:val="false"/>
          <w:dstrike w:val="false"/>
          <w:color w:val="000000"/>
          <w:sz w:val="22"/>
          <w:u w:val="none"/>
          <w:effect w:val="none"/>
        </w:rPr>
        <w:t>ation</w:t>
      </w:r>
    </w:p>
    <w:p>
      <w:pPr>
        <w:pStyle w:val="TextBody"/>
        <w:bidi w:val="0"/>
        <w:spacing w:lineRule="auto" w:line="331" w:before="0" w:after="0"/>
        <w:jc w:val="both"/>
        <w:rPr>
          <w:b/>
          <w:b/>
        </w:rPr>
      </w:pPr>
      <w:r>
        <w:rPr>
          <w:rFonts w:ascii="Arial;sans-serif" w:hAnsi="Arial;sans-serif"/>
          <w:b w:val="false"/>
          <w:i w:val="false"/>
          <w:caps w:val="false"/>
          <w:smallCaps w:val="false"/>
          <w:strike w:val="false"/>
          <w:dstrike w:val="false"/>
          <w:color w:val="0E101A"/>
          <w:sz w:val="22"/>
          <w:u w:val="none"/>
          <w:effect w:val="none"/>
        </w:rPr>
        <w:t>We analysed hybridisation as a continuum using HI as a continuous predictor variable. We modelled the magnitude of the effect of hybridisation as a polynomial, estimating the degree to which new gene combinations are brought together (Baird et al., 2012; Balard et al., 2020). We maximise the likelihood of observed (richness or taxa intensity) data assuming either the same or different parameter values for pure parental subspecies (</w:t>
      </w:r>
      <w:r>
        <w:rPr>
          <w:rFonts w:ascii="Arial;sans-serif" w:hAnsi="Arial;sans-serif"/>
          <w:b w:val="false"/>
          <w:i/>
          <w:caps w:val="false"/>
          <w:smallCaps w:val="false"/>
          <w:strike w:val="false"/>
          <w:dstrike w:val="false"/>
          <w:color w:val="0E101A"/>
          <w:sz w:val="22"/>
          <w:u w:val="none"/>
          <w:effect w:val="none"/>
        </w:rPr>
        <w:t>Mmm</w:t>
      </w:r>
      <w:r>
        <w:rPr>
          <w:caps w:val="false"/>
          <w:smallCaps w:val="false"/>
          <w:strike w:val="false"/>
          <w:dstrike w:val="false"/>
          <w:color w:val="0E101A"/>
          <w:u w:val="none"/>
          <w:effect w:val="none"/>
        </w:rPr>
        <w:t xml:space="preserve"> </w:t>
      </w:r>
      <w:r>
        <w:rPr>
          <w:rFonts w:ascii="Arial;sans-serif" w:hAnsi="Arial;sans-serif"/>
          <w:b w:val="false"/>
          <w:i w:val="false"/>
          <w:caps w:val="false"/>
          <w:smallCaps w:val="false"/>
          <w:strike w:val="false"/>
          <w:dstrike w:val="false"/>
          <w:color w:val="0E101A"/>
          <w:sz w:val="22"/>
          <w:u w:val="none"/>
          <w:effect w:val="none"/>
        </w:rPr>
        <w:t xml:space="preserve">and </w:t>
      </w:r>
      <w:r>
        <w:rPr>
          <w:rFonts w:ascii="Arial;sans-serif" w:hAnsi="Arial;sans-serif"/>
          <w:b w:val="false"/>
          <w:i/>
          <w:caps w:val="false"/>
          <w:smallCaps w:val="false"/>
          <w:strike w:val="false"/>
          <w:dstrike w:val="false"/>
          <w:color w:val="0E101A"/>
          <w:sz w:val="22"/>
          <w:u w:val="none"/>
          <w:effect w:val="none"/>
        </w:rPr>
        <w:t>Mmd</w:t>
      </w:r>
      <w:r>
        <w:rPr>
          <w:rFonts w:ascii="Arial;sans-serif" w:hAnsi="Arial;sans-serif"/>
          <w:b w:val="false"/>
          <w:i w:val="false"/>
          <w:caps w:val="false"/>
          <w:smallCaps w:val="false"/>
          <w:strike w:val="false"/>
          <w:dstrike w:val="false"/>
          <w:color w:val="0E101A"/>
          <w:sz w:val="22"/>
          <w:u w:val="none"/>
          <w:effect w:val="none"/>
        </w:rPr>
        <w:t>) and either the presence or absence of this hybridisation effect (</w:t>
      </w:r>
      <w:r>
        <w:rPr>
          <w:caps w:val="false"/>
          <w:smallCaps w:val="false"/>
          <w:strike w:val="false"/>
          <w:dstrike w:val="false"/>
          <w:color w:val="000000"/>
          <w:u w:val="none"/>
          <w:effect w:val="none"/>
        </w:rPr>
        <w:t>𝛼</w:t>
      </w:r>
      <w:r>
        <w:rPr>
          <w:rFonts w:ascii="Arial;sans-serif" w:hAnsi="Arial;sans-serif"/>
          <w:b w:val="false"/>
          <w:i w:val="false"/>
          <w:caps w:val="false"/>
          <w:smallCaps w:val="false"/>
          <w:strike w:val="false"/>
          <w:dstrike w:val="false"/>
          <w:color w:val="0E101A"/>
          <w:sz w:val="22"/>
          <w:u w:val="none"/>
          <w:effect w:val="none"/>
        </w:rPr>
        <w:t>). As additional predictor variables we considered parental subspecies (</w:t>
      </w:r>
      <w:r>
        <w:rPr>
          <w:rFonts w:ascii="Arial;sans-serif" w:hAnsi="Arial;sans-serif"/>
          <w:b w:val="false"/>
          <w:i/>
          <w:caps w:val="false"/>
          <w:smallCaps w:val="false"/>
          <w:strike w:val="false"/>
          <w:dstrike w:val="false"/>
          <w:color w:val="0E101A"/>
          <w:sz w:val="22"/>
          <w:u w:val="none"/>
          <w:effect w:val="none"/>
        </w:rPr>
        <w:t>Mmd</w:t>
      </w:r>
      <w:r>
        <w:rPr>
          <w:caps w:val="false"/>
          <w:smallCaps w:val="false"/>
          <w:strike w:val="false"/>
          <w:dstrike w:val="false"/>
          <w:color w:val="0E101A"/>
          <w:u w:val="none"/>
          <w:effect w:val="none"/>
        </w:rPr>
        <w:t xml:space="preserve"> </w:t>
      </w:r>
      <w:r>
        <w:rPr>
          <w:rFonts w:ascii="Arial;sans-serif" w:hAnsi="Arial;sans-serif"/>
          <w:b w:val="false"/>
          <w:i w:val="false"/>
          <w:caps w:val="false"/>
          <w:smallCaps w:val="false"/>
          <w:strike w:val="false"/>
          <w:dstrike w:val="false"/>
          <w:color w:val="0E101A"/>
          <w:sz w:val="22"/>
          <w:u w:val="none"/>
          <w:effect w:val="none"/>
        </w:rPr>
        <w:t xml:space="preserve">and </w:t>
      </w:r>
      <w:r>
        <w:rPr>
          <w:rFonts w:ascii="Arial;sans-serif" w:hAnsi="Arial;sans-serif"/>
          <w:b w:val="false"/>
          <w:i/>
          <w:caps w:val="false"/>
          <w:smallCaps w:val="false"/>
          <w:strike w:val="false"/>
          <w:dstrike w:val="false"/>
          <w:color w:val="0E101A"/>
          <w:sz w:val="22"/>
          <w:u w:val="none"/>
          <w:effect w:val="none"/>
        </w:rPr>
        <w:t>Mmm</w:t>
      </w:r>
      <w:r>
        <w:rPr>
          <w:rFonts w:ascii="Arial;sans-serif" w:hAnsi="Arial;sans-serif"/>
          <w:b w:val="false"/>
          <w:i w:val="false"/>
          <w:caps w:val="false"/>
          <w:smallCaps w:val="false"/>
          <w:strike w:val="false"/>
          <w:dstrike w:val="false"/>
          <w:color w:val="0E101A"/>
          <w:sz w:val="22"/>
          <w:u w:val="none"/>
          <w:effect w:val="none"/>
        </w:rPr>
        <w:t xml:space="preserve">) and transect (Brandenburg and Bavaria). </w:t>
      </w:r>
      <w:r>
        <w:rPr>
          <w:rFonts w:eastAsia="Noto Serif CJK SC" w:cs="Lohit Devanagari" w:ascii="Arial;sans-serif" w:hAnsi="Arial;sans-serif"/>
          <w:b w:val="false"/>
          <w:i w:val="false"/>
          <w:caps w:val="false"/>
          <w:smallCaps w:val="false"/>
          <w:strike w:val="false"/>
          <w:dstrike w:val="false"/>
          <w:color w:val="0E101A"/>
          <w:kern w:val="2"/>
          <w:sz w:val="22"/>
          <w:szCs w:val="24"/>
          <w:u w:val="none"/>
          <w:effect w:val="none"/>
          <w:lang w:val="en-US" w:eastAsia="zh-CN" w:bidi="hi-IN"/>
        </w:rPr>
        <w:t>A</w:t>
      </w:r>
      <w:r>
        <w:rPr>
          <w:rFonts w:ascii="Arial;sans-serif" w:hAnsi="Arial;sans-serif"/>
          <w:b w:val="false"/>
          <w:i w:val="false"/>
          <w:caps w:val="false"/>
          <w:smallCaps w:val="false"/>
          <w:strike w:val="false"/>
          <w:dstrike w:val="false"/>
          <w:color w:val="0E101A"/>
          <w:sz w:val="22"/>
          <w:u w:val="none"/>
          <w:effect w:val="none"/>
        </w:rPr>
        <w:t>s described by Balard et al. 2020, we compared models including or excluding these predictors using likelihood-ratio tests and considered a predictor significant only in case of a significant increase in model likelihood</w:t>
      </w:r>
      <w:bookmarkStart w:id="2" w:name="docs-internal-guid-683d9cda-7fff-08e6-a5"/>
      <w:bookmarkEnd w:id="2"/>
      <w:r>
        <w:rPr>
          <w:rFonts w:ascii="Arial;sans-serif" w:hAnsi="Arial;sans-serif"/>
          <w:b w:val="false"/>
          <w:i w:val="false"/>
          <w:caps w:val="false"/>
          <w:smallCaps w:val="false"/>
          <w:strike w:val="false"/>
          <w:dstrike w:val="false"/>
          <w:color w:val="0E101A"/>
          <w:sz w:val="22"/>
          <w:u w:val="none"/>
          <w:effect w:val="none"/>
        </w:rPr>
        <w:t xml:space="preserve">. </w:t>
      </w:r>
      <w:r>
        <w:rPr>
          <w:rFonts w:ascii="Arial;sans-serif" w:hAnsi="Arial;sans-serif"/>
          <w:b w:val="false"/>
          <w:i w:val="false"/>
          <w:caps w:val="false"/>
          <w:smallCaps w:val="false"/>
          <w:strike w:val="false"/>
          <w:dstrike w:val="false"/>
          <w:color w:val="0E101A"/>
          <w:sz w:val="22"/>
          <w:u w:val="none"/>
          <w:effect w:val="none"/>
        </w:rPr>
        <w:t>Our statistical framework compares nested models, starting from a linear model and adding parameters to increase complexity to reach nonlinear models. We only test</w:t>
      </w:r>
      <w:r>
        <w:rPr>
          <w:rFonts w:eastAsia="Noto Serif CJK SC" w:cs="Lohit Devanagari" w:ascii="Arial;sans-serif" w:hAnsi="Arial;sans-serif"/>
          <w:b w:val="false"/>
          <w:i w:val="false"/>
          <w:caps w:val="false"/>
          <w:smallCaps w:val="false"/>
          <w:strike w:val="false"/>
          <w:dstrike w:val="false"/>
          <w:color w:val="0E101A"/>
          <w:kern w:val="2"/>
          <w:sz w:val="22"/>
          <w:szCs w:val="24"/>
          <w:u w:val="none"/>
          <w:effect w:val="none"/>
          <w:lang w:val="en-US" w:eastAsia="zh-CN" w:bidi="hi-IN"/>
        </w:rPr>
        <w:t>ed</w:t>
      </w:r>
      <w:r>
        <w:rPr>
          <w:rFonts w:ascii="Arial;sans-serif" w:hAnsi="Arial;sans-serif"/>
          <w:b w:val="false"/>
          <w:i w:val="false"/>
          <w:caps w:val="false"/>
          <w:smallCaps w:val="false"/>
          <w:strike w:val="false"/>
          <w:dstrike w:val="false"/>
          <w:color w:val="0E101A"/>
          <w:sz w:val="22"/>
          <w:u w:val="none"/>
          <w:effect w:val="none"/>
        </w:rPr>
        <w:t xml:space="preserve"> the significance of predictors (and this test, comparing one model with another nested within, accounts for the additional degrees of freedom in the more complex model). We perform inference on a few  hypotheses and only one particular nonlinear hypothesis to avoid overfitting.</w:t>
      </w:r>
      <w:r>
        <w:rPr>
          <w:rFonts w:ascii="Arial;sans-serif" w:hAnsi="Arial;sans-serif"/>
          <w:b w:val="false"/>
          <w:i w:val="false"/>
          <w:caps w:val="false"/>
          <w:smallCaps w:val="false"/>
          <w:strike w:val="false"/>
          <w:dstrike w:val="false"/>
          <w:color w:val="0E101A"/>
          <w:sz w:val="22"/>
          <w:u w:val="none"/>
          <w:effect w:val="none"/>
        </w:rPr>
        <w:t xml:space="preserve"> All </w:t>
      </w:r>
      <w:r>
        <w:rPr>
          <w:rFonts w:ascii="Arial;sans-serif" w:hAnsi="Arial;sans-serif"/>
          <w:b w:val="false"/>
          <w:i/>
          <w:caps w:val="false"/>
          <w:smallCaps w:val="false"/>
          <w:strike w:val="false"/>
          <w:dstrike w:val="false"/>
          <w:color w:val="000000"/>
          <w:sz w:val="22"/>
          <w:u w:val="none"/>
          <w:effect w:val="none"/>
        </w:rPr>
        <w:t>p</w:t>
      </w:r>
      <w:r>
        <w:rPr>
          <w:rFonts w:ascii="Arial;sans-serif" w:hAnsi="Arial;sans-serif"/>
          <w:b w:val="false"/>
          <w:i w:val="false"/>
          <w:caps w:val="false"/>
          <w:smallCaps w:val="false"/>
          <w:strike w:val="false"/>
          <w:dstrike w:val="false"/>
          <w:color w:val="000000"/>
          <w:sz w:val="22"/>
          <w:u w:val="none"/>
          <w:effect w:val="none"/>
        </w:rPr>
        <w:t>-values were adjusted for false discovery rate (FDR) employing the Benjamini-Hochberg method.</w:t>
      </w:r>
    </w:p>
    <w:p>
      <w:pPr>
        <w:pStyle w:val="TextBody"/>
        <w:bidi w:val="0"/>
        <w:spacing w:lineRule="auto" w:line="331" w:before="0" w:after="0"/>
        <w:jc w:val="both"/>
        <w:rPr/>
      </w:pPr>
      <w:r>
        <w:rPr>
          <w:rFonts w:eastAsia="Noto Serif CJK SC" w:cs="Lohit Devanagari" w:ascii="Arial;sans-serif" w:hAnsi="Arial;sans-serif"/>
          <w:b w:val="false"/>
          <w:i w:val="false"/>
          <w:caps w:val="false"/>
          <w:smallCaps w:val="false"/>
          <w:strike w:val="false"/>
          <w:dstrike w:val="false"/>
          <w:color w:val="0E101A"/>
          <w:kern w:val="2"/>
          <w:sz w:val="22"/>
          <w:szCs w:val="24"/>
          <w:u w:val="none"/>
          <w:effect w:val="none"/>
          <w:lang w:val="en-US" w:eastAsia="zh-CN" w:bidi="hi-IN"/>
        </w:rPr>
        <w:t>To test for hybrid effects on richness,</w:t>
      </w:r>
      <w:r>
        <w:rPr>
          <w:rFonts w:ascii="Arial;sans-serif" w:hAnsi="Arial;sans-serif"/>
          <w:b w:val="false"/>
          <w:i w:val="false"/>
          <w:caps w:val="false"/>
          <w:smallCaps w:val="false"/>
          <w:strike w:val="false"/>
          <w:dstrike w:val="false"/>
          <w:color w:val="0E101A"/>
          <w:sz w:val="22"/>
          <w:u w:val="none"/>
          <w:effect w:val="none"/>
        </w:rPr>
        <w:t xml:space="preserve"> </w:t>
      </w:r>
      <w:r>
        <w:rPr>
          <w:rFonts w:eastAsia="Noto Serif CJK SC" w:cs="Lohit Devanagari" w:ascii="Arial;sans-serif" w:hAnsi="Arial;sans-serif"/>
          <w:b w:val="false"/>
          <w:i w:val="false"/>
          <w:caps w:val="false"/>
          <w:smallCaps w:val="false"/>
          <w:strike w:val="false"/>
          <w:dstrike w:val="false"/>
          <w:color w:val="0E101A"/>
          <w:kern w:val="2"/>
          <w:sz w:val="22"/>
          <w:szCs w:val="24"/>
          <w:u w:val="none"/>
          <w:effect w:val="none"/>
          <w:lang w:val="en-US" w:eastAsia="zh-CN" w:bidi="hi-IN"/>
        </w:rPr>
        <w:t>t</w:t>
      </w:r>
      <w:r>
        <w:rPr>
          <w:rFonts w:ascii="Arial;sans-serif" w:hAnsi="Arial;sans-serif"/>
          <w:b w:val="false"/>
          <w:i w:val="false"/>
          <w:caps w:val="false"/>
          <w:smallCaps w:val="false"/>
          <w:strike w:val="false"/>
          <w:dstrike w:val="false"/>
          <w:color w:val="0E101A"/>
          <w:sz w:val="22"/>
          <w:u w:val="none"/>
          <w:effect w:val="none"/>
        </w:rPr>
        <w:t xml:space="preserve">he Chao1 index, calculated as describe in section S1.5, was used as a measure of richness for the microbiome and predicted ARGs. The final set of </w:t>
      </w:r>
      <w:r>
        <w:rPr>
          <w:rFonts w:ascii="Arial;sans-serif" w:hAnsi="Arial;sans-serif"/>
          <w:b w:val="false"/>
          <w:i w:val="false"/>
          <w:caps w:val="false"/>
          <w:smallCaps w:val="false"/>
          <w:strike w:val="false"/>
          <w:dstrike w:val="false"/>
          <w:color w:val="000000"/>
          <w:sz w:val="22"/>
          <w:u w:val="none"/>
          <w:effect w:val="none"/>
        </w:rPr>
        <w:t xml:space="preserve">ASVs and ARGs used for the analysis was selected based on potential ecologically relevant associations and significant </w:t>
      </w:r>
      <w:r>
        <w:rPr>
          <w:rFonts w:eastAsia="Noto Serif CJK SC" w:cs="Lohit Devanagari" w:ascii="Arial;sans-serif" w:hAnsi="Arial;sans-serif"/>
          <w:b w:val="false"/>
          <w:i w:val="false"/>
          <w:caps w:val="false"/>
          <w:smallCaps w:val="false"/>
          <w:strike w:val="false"/>
          <w:dstrike w:val="false"/>
          <w:color w:val="000000"/>
          <w:kern w:val="2"/>
          <w:sz w:val="22"/>
          <w:szCs w:val="24"/>
          <w:u w:val="none"/>
          <w:effect w:val="none"/>
          <w:lang w:val="en-US" w:eastAsia="zh-CN" w:bidi="hi-IN"/>
        </w:rPr>
        <w:t>e</w:t>
      </w:r>
      <w:r>
        <w:rPr>
          <w:rFonts w:ascii="Arial;sans-serif" w:hAnsi="Arial;sans-serif"/>
          <w:b w:val="false"/>
          <w:i w:val="false"/>
          <w:caps w:val="false"/>
          <w:smallCaps w:val="false"/>
          <w:strike w:val="false"/>
          <w:dstrike w:val="false"/>
          <w:color w:val="000000"/>
          <w:sz w:val="22"/>
          <w:u w:val="none"/>
          <w:effect w:val="none"/>
        </w:rPr>
        <w:t xml:space="preserve">ffect on the community structure based on their Kleinberg's hub centrality scores. </w:t>
      </w:r>
      <w:r>
        <w:rPr>
          <w:rFonts w:ascii="Arial;sans-serif" w:hAnsi="Arial;sans-serif"/>
          <w:b w:val="false"/>
          <w:i w:val="false"/>
          <w:caps w:val="false"/>
          <w:smallCaps w:val="false"/>
          <w:strike w:val="false"/>
          <w:dstrike w:val="false"/>
          <w:color w:val="0E101A"/>
          <w:sz w:val="22"/>
          <w:u w:val="none"/>
          <w:effect w:val="none"/>
        </w:rPr>
        <w:t xml:space="preserve">ASVs with Kleinberg's hub centrality above 0.1 score and with closeness centrality below 0.01 in the co-abundance network were tested. From the predicted ARGs, </w:t>
      </w:r>
      <w:r>
        <w:rPr>
          <w:rFonts w:eastAsia="Noto Serif CJK SC" w:cs="Lohit Devanagari" w:ascii="Arial;sans-serif" w:hAnsi="Arial;sans-serif"/>
          <w:b w:val="false"/>
          <w:i w:val="false"/>
          <w:caps w:val="false"/>
          <w:smallCaps w:val="false"/>
          <w:strike w:val="false"/>
          <w:dstrike w:val="false"/>
          <w:color w:val="0E101A"/>
          <w:kern w:val="2"/>
          <w:sz w:val="22"/>
          <w:szCs w:val="24"/>
          <w:u w:val="none"/>
          <w:effect w:val="none"/>
          <w:lang w:val="en-US" w:eastAsia="zh-CN" w:bidi="hi-IN"/>
        </w:rPr>
        <w:t>h</w:t>
      </w:r>
      <w:r>
        <w:rPr>
          <w:rFonts w:ascii="Arial;sans-serif" w:hAnsi="Arial;sans-serif"/>
          <w:b w:val="false"/>
          <w:i w:val="false"/>
          <w:caps w:val="false"/>
          <w:smallCaps w:val="false"/>
          <w:strike w:val="false"/>
          <w:dstrike w:val="false"/>
          <w:color w:val="0E101A"/>
          <w:sz w:val="22"/>
          <w:u w:val="none"/>
          <w:effect w:val="none"/>
        </w:rPr>
        <w:t>ub genes with Kleinberg's hub higher than 0.5 were chosen.</w:t>
      </w:r>
    </w:p>
    <w:p>
      <w:pPr>
        <w:pStyle w:val="TextBody"/>
        <w:shd w:val="clear" w:fill="FFFFFF"/>
        <w:bidi w:val="0"/>
        <w:spacing w:lineRule="auto" w:line="276"/>
        <w:jc w:val="both"/>
        <w:rPr>
          <w:b/>
          <w:b/>
        </w:rPr>
      </w:pPr>
      <w:r>
        <w:rPr>
          <w:b/>
        </w:rPr>
      </w:r>
    </w:p>
    <w:p>
      <w:pPr>
        <w:pStyle w:val="TextBody"/>
        <w:shd w:val="clear" w:fill="FFFFFF"/>
        <w:bidi w:val="0"/>
        <w:spacing w:lineRule="auto" w:line="276"/>
        <w:jc w:val="both"/>
        <w:rPr>
          <w:b/>
          <w:b/>
        </w:rPr>
      </w:pPr>
      <w:r>
        <w:rPr>
          <w:b/>
        </w:rPr>
      </w:r>
    </w:p>
    <w:p>
      <w:pPr>
        <w:pStyle w:val="TextBody"/>
        <w:shd w:val="clear" w:fill="FFFFFF"/>
        <w:bidi w:val="0"/>
        <w:spacing w:lineRule="auto" w:line="276"/>
        <w:jc w:val="both"/>
        <w:rPr>
          <w:b/>
          <w:b/>
        </w:rPr>
      </w:pPr>
      <w:r>
        <w:rPr>
          <w:b/>
        </w:rPr>
      </w:r>
    </w:p>
    <w:p>
      <w:pPr>
        <w:pStyle w:val="TextBody"/>
        <w:shd w:val="clear" w:fill="FFFFFF"/>
        <w:bidi w:val="0"/>
        <w:spacing w:lineRule="auto" w:line="276"/>
        <w:jc w:val="both"/>
        <w:rPr>
          <w:b/>
          <w:b/>
        </w:rPr>
      </w:pPr>
      <w:r>
        <w:rPr>
          <w:b/>
        </w:rPr>
      </w:r>
    </w:p>
    <w:p>
      <w:pPr>
        <w:pStyle w:val="TextBody"/>
        <w:shd w:val="clear" w:fill="FFFFFF"/>
        <w:bidi w:val="0"/>
        <w:spacing w:lineRule="auto" w:line="276"/>
        <w:jc w:val="both"/>
        <w:rPr>
          <w:b/>
          <w:b/>
        </w:rPr>
      </w:pPr>
      <w:r>
        <w:rPr>
          <w:b/>
        </w:rPr>
      </w:r>
    </w:p>
    <w:p>
      <w:pPr>
        <w:pStyle w:val="TextBody"/>
        <w:shd w:val="clear" w:fill="FFFFFF"/>
        <w:bidi w:val="0"/>
        <w:spacing w:lineRule="auto" w:line="276"/>
        <w:jc w:val="both"/>
        <w:rPr>
          <w:b/>
          <w:b/>
        </w:rPr>
      </w:pPr>
      <w:r>
        <w:rPr>
          <w:b/>
        </w:rPr>
      </w:r>
    </w:p>
    <w:p>
      <w:pPr>
        <w:pStyle w:val="TextBody"/>
        <w:shd w:val="clear" w:fill="FFFFFF"/>
        <w:bidi w:val="0"/>
        <w:spacing w:lineRule="auto" w:line="276"/>
        <w:jc w:val="both"/>
        <w:rPr>
          <w:b/>
          <w:b/>
        </w:rPr>
      </w:pPr>
      <w:r>
        <w:rPr>
          <w:b/>
        </w:rPr>
      </w:r>
    </w:p>
    <w:p>
      <w:pPr>
        <w:pStyle w:val="TextBody"/>
        <w:shd w:val="clear" w:fill="FFFFFF"/>
        <w:bidi w:val="0"/>
        <w:spacing w:lineRule="auto" w:line="276"/>
        <w:jc w:val="both"/>
        <w:rPr>
          <w:b/>
          <w:b/>
        </w:rPr>
      </w:pPr>
      <w:r>
        <w:rPr>
          <w:b/>
        </w:rPr>
      </w:r>
    </w:p>
    <w:p>
      <w:pPr>
        <w:pStyle w:val="LOnormal"/>
        <w:shd w:val="clear" w:fill="FFFFFF"/>
        <w:spacing w:lineRule="auto" w:line="276"/>
        <w:jc w:val="both"/>
        <w:rPr>
          <w:rFonts w:ascii="arial" w:hAnsi="arial"/>
        </w:rPr>
      </w:pPr>
      <w:r>
        <w:rPr>
          <w:rFonts w:ascii="arial" w:hAnsi="arial"/>
          <w:b/>
        </w:rPr>
        <w:t xml:space="preserve">Supplement </w:t>
      </w:r>
      <w:r>
        <w:rPr>
          <w:rFonts w:eastAsia="Noto Serif CJK SC" w:cs="Lohit Devanagari" w:ascii="arial" w:hAnsi="arial"/>
          <w:b/>
          <w:color w:val="auto"/>
          <w:kern w:val="2"/>
          <w:sz w:val="24"/>
          <w:szCs w:val="24"/>
          <w:lang w:val="en-US" w:eastAsia="zh-CN" w:bidi="hi-IN"/>
        </w:rPr>
        <w:t>2</w:t>
      </w:r>
      <w:r>
        <w:rPr>
          <w:rFonts w:ascii="arial" w:hAnsi="arial"/>
          <w:b/>
        </w:rPr>
        <w:t>. Permutational analysis of variance (PERMANOVA) for bacterial composition in natural populations of house mice (</w:t>
      </w:r>
      <w:r>
        <w:rPr>
          <w:rFonts w:ascii="arial" w:hAnsi="arial"/>
          <w:b/>
          <w:i/>
        </w:rPr>
        <w:t>Mus musculus</w:t>
      </w:r>
      <w:r>
        <w:rPr>
          <w:rFonts w:ascii="arial" w:hAnsi="arial"/>
          <w:b/>
        </w:rPr>
        <w:t xml:space="preserve">)  </w:t>
      </w:r>
      <w:r>
        <w:rPr>
          <w:rFonts w:ascii="arial" w:hAnsi="arial"/>
        </w:rPr>
        <w:t xml:space="preserve"> </w:t>
        <w:tab/>
        <w:t xml:space="preserve"> </w:t>
        <w:tab/>
        <w:t xml:space="preserve"> </w:t>
        <w:tab/>
        <w:t xml:space="preserve"> </w:t>
        <w:tab/>
        <w:t xml:space="preserve"> </w:t>
        <w:tab/>
      </w:r>
    </w:p>
    <w:tbl>
      <w:tblPr>
        <w:tblStyle w:val="Table1"/>
        <w:tblW w:w="8715" w:type="dxa"/>
        <w:jc w:val="center"/>
        <w:tblInd w:w="0" w:type="dxa"/>
        <w:tblCellMar>
          <w:top w:w="5" w:type="dxa"/>
          <w:left w:w="15" w:type="dxa"/>
          <w:bottom w:w="5" w:type="dxa"/>
          <w:right w:w="15" w:type="dxa"/>
        </w:tblCellMar>
        <w:tblLook w:val="0600"/>
      </w:tblPr>
      <w:tblGrid>
        <w:gridCol w:w="1830"/>
        <w:gridCol w:w="1350"/>
        <w:gridCol w:w="1470"/>
        <w:gridCol w:w="1336"/>
        <w:gridCol w:w="1243"/>
        <w:gridCol w:w="1485"/>
      </w:tblGrid>
      <w:tr>
        <w:trPr>
          <w:trHeight w:val="680" w:hRule="atLeast"/>
        </w:trPr>
        <w:tc>
          <w:tcPr>
            <w:tcW w:w="1830"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rFonts w:ascii="arial" w:hAnsi="arial"/>
              </w:rPr>
            </w:pPr>
            <w:r>
              <w:rPr>
                <w:rFonts w:ascii="arial" w:hAnsi="arial"/>
              </w:rPr>
            </w:r>
          </w:p>
        </w:tc>
        <w:tc>
          <w:tcPr>
            <w:tcW w:w="1350"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b/>
                <w:b/>
              </w:rPr>
            </w:pPr>
            <w:r>
              <w:rPr>
                <w:rFonts w:ascii="arial" w:hAnsi="arial"/>
                <w:b/>
              </w:rPr>
              <w:t>Df</w:t>
            </w:r>
          </w:p>
        </w:tc>
        <w:tc>
          <w:tcPr>
            <w:tcW w:w="1470"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b/>
                <w:b/>
              </w:rPr>
            </w:pPr>
            <w:r>
              <w:rPr>
                <w:rFonts w:ascii="arial" w:hAnsi="arial"/>
                <w:b/>
              </w:rPr>
              <w:t>Sums Of Sqs</w:t>
            </w:r>
          </w:p>
        </w:tc>
        <w:tc>
          <w:tcPr>
            <w:tcW w:w="1336"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b/>
                <w:b/>
              </w:rPr>
            </w:pPr>
            <w:r>
              <w:rPr>
                <w:rFonts w:ascii="arial" w:hAnsi="arial"/>
                <w:b/>
                <w:i/>
              </w:rPr>
              <w:t>F</w:t>
            </w:r>
            <w:r>
              <w:rPr>
                <w:rFonts w:ascii="arial" w:hAnsi="arial"/>
                <w:b/>
              </w:rPr>
              <w:t>-Model</w:t>
            </w:r>
          </w:p>
        </w:tc>
        <w:tc>
          <w:tcPr>
            <w:tcW w:w="1243"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b/>
                <w:b/>
                <w:vertAlign w:val="superscript"/>
              </w:rPr>
            </w:pPr>
            <w:r>
              <w:rPr>
                <w:rFonts w:ascii="arial" w:hAnsi="arial"/>
                <w:b/>
              </w:rPr>
              <w:t>R</w:t>
            </w:r>
            <w:r>
              <w:rPr>
                <w:rFonts w:ascii="arial" w:hAnsi="arial"/>
                <w:b/>
                <w:vertAlign w:val="superscript"/>
              </w:rPr>
              <w:t>2</w:t>
            </w:r>
          </w:p>
        </w:tc>
        <w:tc>
          <w:tcPr>
            <w:tcW w:w="1485"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b/>
                <w:b/>
              </w:rPr>
            </w:pPr>
            <w:r>
              <w:rPr>
                <w:rFonts w:ascii="arial" w:hAnsi="arial"/>
                <w:b/>
              </w:rPr>
              <w:t>Pr(&gt;</w:t>
            </w:r>
            <w:r>
              <w:rPr>
                <w:rFonts w:ascii="arial" w:hAnsi="arial"/>
                <w:b/>
                <w:i/>
              </w:rPr>
              <w:t>F</w:t>
            </w:r>
            <w:r>
              <w:rPr>
                <w:rFonts w:ascii="arial" w:hAnsi="arial"/>
                <w:b/>
              </w:rPr>
              <w:t>)</w:t>
            </w:r>
          </w:p>
        </w:tc>
      </w:tr>
      <w:tr>
        <w:trPr>
          <w:trHeight w:val="791" w:hRule="atLeast"/>
        </w:trPr>
        <w:tc>
          <w:tcPr>
            <w:tcW w:w="1830" w:type="dxa"/>
            <w:tcBorders>
              <w:top w:val="single" w:sz="12" w:space="0" w:color="000000"/>
            </w:tcBorders>
            <w:vAlign w:val="center"/>
          </w:tcPr>
          <w:p>
            <w:pPr>
              <w:pStyle w:val="LOnormal"/>
              <w:widowControl w:val="false"/>
              <w:rPr>
                <w:i/>
                <w:i/>
              </w:rPr>
            </w:pPr>
            <w:r>
              <w:rPr>
                <w:rFonts w:ascii="arial" w:hAnsi="arial"/>
                <w:i/>
              </w:rPr>
              <w:t>Locality</w:t>
            </w:r>
          </w:p>
        </w:tc>
        <w:tc>
          <w:tcPr>
            <w:tcW w:w="1350" w:type="dxa"/>
            <w:tcBorders>
              <w:top w:val="single" w:sz="12" w:space="0" w:color="000000"/>
            </w:tcBorders>
            <w:vAlign w:val="center"/>
          </w:tcPr>
          <w:p>
            <w:pPr>
              <w:pStyle w:val="LOnormal"/>
              <w:widowControl w:val="false"/>
              <w:jc w:val="center"/>
              <w:rPr>
                <w:rFonts w:ascii="arial" w:hAnsi="arial"/>
              </w:rPr>
            </w:pPr>
            <w:r>
              <w:rPr>
                <w:rFonts w:ascii="arial" w:hAnsi="arial"/>
              </w:rPr>
              <w:t>159</w:t>
            </w:r>
          </w:p>
        </w:tc>
        <w:tc>
          <w:tcPr>
            <w:tcW w:w="1470" w:type="dxa"/>
            <w:tcBorders>
              <w:top w:val="single" w:sz="12" w:space="0" w:color="000000"/>
            </w:tcBorders>
            <w:vAlign w:val="center"/>
          </w:tcPr>
          <w:p>
            <w:pPr>
              <w:pStyle w:val="LOnormal"/>
              <w:widowControl w:val="false"/>
              <w:jc w:val="center"/>
              <w:rPr>
                <w:rFonts w:ascii="arial" w:hAnsi="arial"/>
              </w:rPr>
            </w:pPr>
            <w:r>
              <w:rPr>
                <w:rFonts w:ascii="arial" w:hAnsi="arial"/>
                <w:color w:val="0E101A"/>
              </w:rPr>
              <w:t>59.092</w:t>
            </w:r>
          </w:p>
        </w:tc>
        <w:tc>
          <w:tcPr>
            <w:tcW w:w="1336" w:type="dxa"/>
            <w:tcBorders>
              <w:top w:val="single" w:sz="12" w:space="0" w:color="000000"/>
            </w:tcBorders>
            <w:vAlign w:val="center"/>
          </w:tcPr>
          <w:p>
            <w:pPr>
              <w:pStyle w:val="LOnormal"/>
              <w:shd w:val="clear" w:fill="FFFFFF"/>
              <w:spacing w:lineRule="auto" w:line="276"/>
              <w:jc w:val="center"/>
              <w:rPr>
                <w:rFonts w:ascii="arial" w:hAnsi="arial"/>
              </w:rPr>
            </w:pPr>
            <w:r>
              <w:rPr>
                <w:rFonts w:ascii="arial" w:hAnsi="arial"/>
                <w:color w:val="0E101A"/>
              </w:rPr>
              <w:t>1.0031</w:t>
            </w:r>
          </w:p>
        </w:tc>
        <w:tc>
          <w:tcPr>
            <w:tcW w:w="1243" w:type="dxa"/>
            <w:tcBorders>
              <w:top w:val="single" w:sz="12" w:space="0" w:color="000000"/>
            </w:tcBorders>
            <w:vAlign w:val="center"/>
          </w:tcPr>
          <w:p>
            <w:pPr>
              <w:pStyle w:val="LOnormal"/>
              <w:widowControl w:val="false"/>
              <w:jc w:val="center"/>
              <w:rPr>
                <w:rFonts w:ascii="arial" w:hAnsi="arial"/>
              </w:rPr>
            </w:pPr>
            <w:r>
              <w:rPr>
                <w:rFonts w:ascii="arial" w:hAnsi="arial"/>
                <w:color w:val="0E101A"/>
              </w:rPr>
              <w:t>0.32327</w:t>
            </w:r>
          </w:p>
        </w:tc>
        <w:tc>
          <w:tcPr>
            <w:tcW w:w="1485" w:type="dxa"/>
            <w:tcBorders>
              <w:top w:val="single" w:sz="12" w:space="0" w:color="000000"/>
            </w:tcBorders>
            <w:vAlign w:val="center"/>
          </w:tcPr>
          <w:p>
            <w:pPr>
              <w:pStyle w:val="LOnormal"/>
              <w:widowControl w:val="false"/>
              <w:jc w:val="center"/>
              <w:rPr>
                <w:rFonts w:ascii="arial" w:hAnsi="arial"/>
              </w:rPr>
            </w:pPr>
            <w:r>
              <w:rPr>
                <w:rFonts w:ascii="arial" w:hAnsi="arial"/>
                <w:color w:val="0E101A"/>
              </w:rPr>
              <w:t xml:space="preserve"> </w:t>
            </w:r>
            <w:r>
              <w:rPr>
                <w:rFonts w:ascii="arial" w:hAnsi="arial"/>
                <w:color w:val="0E101A"/>
              </w:rPr>
              <w:t>0.237</w:t>
            </w:r>
          </w:p>
        </w:tc>
      </w:tr>
      <w:tr>
        <w:trPr>
          <w:trHeight w:val="791" w:hRule="atLeast"/>
        </w:trPr>
        <w:tc>
          <w:tcPr>
            <w:tcW w:w="1830" w:type="dxa"/>
            <w:tcBorders/>
            <w:vAlign w:val="center"/>
          </w:tcPr>
          <w:p>
            <w:pPr>
              <w:pStyle w:val="LOnormal"/>
              <w:widowControl w:val="false"/>
              <w:rPr>
                <w:i/>
                <w:i/>
              </w:rPr>
            </w:pPr>
            <w:r>
              <w:rPr>
                <w:rFonts w:ascii="arial" w:hAnsi="arial"/>
                <w:i/>
              </w:rPr>
              <w:t>Year of collection</w:t>
            </w:r>
          </w:p>
        </w:tc>
        <w:tc>
          <w:tcPr>
            <w:tcW w:w="1350" w:type="dxa"/>
            <w:tcBorders/>
            <w:vAlign w:val="center"/>
          </w:tcPr>
          <w:p>
            <w:pPr>
              <w:pStyle w:val="LOnormal"/>
              <w:widowControl w:val="false"/>
              <w:jc w:val="center"/>
              <w:rPr>
                <w:rFonts w:ascii="arial" w:hAnsi="arial"/>
              </w:rPr>
            </w:pPr>
            <w:r>
              <w:rPr>
                <w:rFonts w:ascii="arial" w:hAnsi="arial"/>
              </w:rPr>
              <w:t>3</w:t>
            </w:r>
          </w:p>
        </w:tc>
        <w:tc>
          <w:tcPr>
            <w:tcW w:w="1470" w:type="dxa"/>
            <w:tcBorders/>
            <w:vAlign w:val="center"/>
          </w:tcPr>
          <w:p>
            <w:pPr>
              <w:pStyle w:val="LOnormal"/>
              <w:widowControl w:val="false"/>
              <w:jc w:val="center"/>
              <w:rPr>
                <w:rFonts w:ascii="arial" w:hAnsi="arial"/>
              </w:rPr>
            </w:pPr>
            <w:r>
              <w:rPr>
                <w:rFonts w:ascii="arial" w:hAnsi="arial"/>
                <w:color w:val="0E101A"/>
              </w:rPr>
              <w:t>0.731</w:t>
            </w:r>
          </w:p>
        </w:tc>
        <w:tc>
          <w:tcPr>
            <w:tcW w:w="1336" w:type="dxa"/>
            <w:tcBorders/>
            <w:vAlign w:val="center"/>
          </w:tcPr>
          <w:p>
            <w:pPr>
              <w:pStyle w:val="LOnormal"/>
              <w:shd w:val="clear" w:fill="FFFFFF"/>
              <w:spacing w:lineRule="auto" w:line="276"/>
              <w:jc w:val="center"/>
              <w:rPr>
                <w:rFonts w:ascii="arial" w:hAnsi="arial"/>
              </w:rPr>
            </w:pPr>
            <w:r>
              <w:rPr>
                <w:rFonts w:ascii="arial" w:hAnsi="arial"/>
                <w:color w:val="0E101A"/>
              </w:rPr>
              <w:t>0.9867</w:t>
            </w:r>
          </w:p>
        </w:tc>
        <w:tc>
          <w:tcPr>
            <w:tcW w:w="1243" w:type="dxa"/>
            <w:tcBorders/>
            <w:vAlign w:val="center"/>
          </w:tcPr>
          <w:p>
            <w:pPr>
              <w:pStyle w:val="LOnormal"/>
              <w:widowControl w:val="false"/>
              <w:jc w:val="center"/>
              <w:rPr>
                <w:rFonts w:ascii="arial" w:hAnsi="arial"/>
              </w:rPr>
            </w:pPr>
            <w:r>
              <w:rPr>
                <w:rFonts w:ascii="arial" w:hAnsi="arial"/>
                <w:color w:val="0E101A"/>
              </w:rPr>
              <w:t>0.00400</w:t>
            </w:r>
          </w:p>
        </w:tc>
        <w:tc>
          <w:tcPr>
            <w:tcW w:w="1485" w:type="dxa"/>
            <w:tcBorders/>
            <w:vAlign w:val="center"/>
          </w:tcPr>
          <w:p>
            <w:pPr>
              <w:pStyle w:val="LOnormal"/>
              <w:widowControl w:val="false"/>
              <w:jc w:val="center"/>
              <w:rPr>
                <w:rFonts w:ascii="arial" w:hAnsi="arial"/>
              </w:rPr>
            </w:pPr>
            <w:r>
              <w:rPr>
                <w:rFonts w:ascii="arial" w:hAnsi="arial"/>
                <w:color w:val="0E101A"/>
              </w:rPr>
              <w:t>0.557</w:t>
            </w:r>
          </w:p>
        </w:tc>
      </w:tr>
      <w:tr>
        <w:trPr>
          <w:trHeight w:val="791" w:hRule="atLeast"/>
        </w:trPr>
        <w:tc>
          <w:tcPr>
            <w:tcW w:w="1830" w:type="dxa"/>
            <w:tcBorders>
              <w:bottom w:val="single" w:sz="12" w:space="0" w:color="000000"/>
            </w:tcBorders>
            <w:vAlign w:val="center"/>
          </w:tcPr>
          <w:p>
            <w:pPr>
              <w:pStyle w:val="LOnormal"/>
              <w:widowControl w:val="false"/>
              <w:rPr>
                <w:b/>
                <w:b/>
                <w:i/>
                <w:i/>
              </w:rPr>
            </w:pPr>
            <w:r>
              <w:rPr>
                <w:rFonts w:ascii="arial" w:hAnsi="arial"/>
                <w:b/>
                <w:i/>
              </w:rPr>
              <w:t>Hybridicity</w:t>
            </w:r>
          </w:p>
        </w:tc>
        <w:tc>
          <w:tcPr>
            <w:tcW w:w="1350" w:type="dxa"/>
            <w:tcBorders>
              <w:bottom w:val="single" w:sz="12" w:space="0" w:color="000000"/>
            </w:tcBorders>
            <w:vAlign w:val="center"/>
          </w:tcPr>
          <w:p>
            <w:pPr>
              <w:pStyle w:val="LOnormal"/>
              <w:widowControl w:val="false"/>
              <w:jc w:val="center"/>
              <w:rPr>
                <w:rFonts w:ascii="arial" w:hAnsi="arial"/>
              </w:rPr>
            </w:pPr>
            <w:r>
              <w:rPr>
                <w:rFonts w:ascii="arial" w:hAnsi="arial"/>
              </w:rPr>
              <w:t>1</w:t>
            </w:r>
          </w:p>
        </w:tc>
        <w:tc>
          <w:tcPr>
            <w:tcW w:w="1470" w:type="dxa"/>
            <w:tcBorders>
              <w:bottom w:val="single" w:sz="12" w:space="0" w:color="000000"/>
            </w:tcBorders>
            <w:vAlign w:val="center"/>
          </w:tcPr>
          <w:p>
            <w:pPr>
              <w:pStyle w:val="LOnormal"/>
              <w:shd w:val="clear" w:fill="FFFFFF"/>
              <w:spacing w:lineRule="auto" w:line="276"/>
              <w:jc w:val="center"/>
              <w:rPr>
                <w:rFonts w:ascii="arial" w:hAnsi="arial"/>
              </w:rPr>
            </w:pPr>
            <w:r>
              <w:rPr>
                <w:rFonts w:ascii="arial" w:hAnsi="arial"/>
                <w:color w:val="0E101A"/>
              </w:rPr>
              <w:t>0.510</w:t>
            </w:r>
          </w:p>
        </w:tc>
        <w:tc>
          <w:tcPr>
            <w:tcW w:w="1336" w:type="dxa"/>
            <w:tcBorders>
              <w:bottom w:val="single" w:sz="12" w:space="0" w:color="000000"/>
            </w:tcBorders>
            <w:vAlign w:val="center"/>
          </w:tcPr>
          <w:p>
            <w:pPr>
              <w:pStyle w:val="LOnormal"/>
              <w:shd w:val="clear" w:fill="FFFFFF"/>
              <w:spacing w:lineRule="auto" w:line="276"/>
              <w:jc w:val="center"/>
              <w:rPr>
                <w:rFonts w:ascii="arial" w:hAnsi="arial"/>
              </w:rPr>
            </w:pPr>
            <w:r>
              <w:rPr>
                <w:rFonts w:ascii="arial" w:hAnsi="arial"/>
                <w:color w:val="0E101A"/>
              </w:rPr>
              <w:t>1.3763</w:t>
            </w:r>
          </w:p>
        </w:tc>
        <w:tc>
          <w:tcPr>
            <w:tcW w:w="1243" w:type="dxa"/>
            <w:tcBorders>
              <w:bottom w:val="single" w:sz="12" w:space="0" w:color="000000"/>
            </w:tcBorders>
            <w:vAlign w:val="center"/>
          </w:tcPr>
          <w:p>
            <w:pPr>
              <w:pStyle w:val="LOnormal"/>
              <w:shd w:val="clear" w:fill="FFFFFF"/>
              <w:spacing w:lineRule="auto" w:line="276"/>
              <w:jc w:val="center"/>
              <w:rPr>
                <w:rFonts w:ascii="arial" w:hAnsi="arial"/>
              </w:rPr>
            </w:pPr>
            <w:r>
              <w:rPr>
                <w:rFonts w:ascii="arial" w:hAnsi="arial"/>
                <w:color w:val="0E101A"/>
              </w:rPr>
              <w:t>0.00279</w:t>
            </w:r>
          </w:p>
        </w:tc>
        <w:tc>
          <w:tcPr>
            <w:tcW w:w="1485" w:type="dxa"/>
            <w:tcBorders>
              <w:bottom w:val="single" w:sz="12" w:space="0" w:color="000000"/>
            </w:tcBorders>
            <w:vAlign w:val="center"/>
          </w:tcPr>
          <w:p>
            <w:pPr>
              <w:pStyle w:val="LOnormal"/>
              <w:widowControl w:val="false"/>
              <w:jc w:val="center"/>
              <w:rPr>
                <w:b/>
                <w:b/>
              </w:rPr>
            </w:pPr>
            <w:r>
              <w:rPr>
                <w:rFonts w:ascii="arial" w:hAnsi="arial"/>
                <w:b/>
                <w:color w:val="0E101A"/>
              </w:rPr>
              <w:t>0.047 *</w:t>
            </w:r>
          </w:p>
        </w:tc>
      </w:tr>
      <w:tr>
        <w:trPr>
          <w:trHeight w:val="566" w:hRule="atLeast"/>
        </w:trPr>
        <w:tc>
          <w:tcPr>
            <w:tcW w:w="1830"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b/>
                <w:b/>
              </w:rPr>
            </w:pPr>
            <w:r>
              <w:rPr>
                <w:rFonts w:ascii="arial" w:hAnsi="arial"/>
                <w:b/>
              </w:rPr>
              <w:t>Residuals</w:t>
            </w:r>
          </w:p>
        </w:tc>
        <w:tc>
          <w:tcPr>
            <w:tcW w:w="1350"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rFonts w:ascii="arial" w:hAnsi="arial"/>
              </w:rPr>
            </w:pPr>
            <w:r>
              <w:rPr>
                <w:rFonts w:ascii="arial" w:hAnsi="arial"/>
              </w:rPr>
              <w:t>329</w:t>
            </w:r>
          </w:p>
        </w:tc>
        <w:tc>
          <w:tcPr>
            <w:tcW w:w="1470" w:type="dxa"/>
            <w:tcBorders>
              <w:top w:val="single" w:sz="12" w:space="0" w:color="000000"/>
              <w:left w:val="single" w:sz="12" w:space="0" w:color="FFFFFF"/>
              <w:bottom w:val="single" w:sz="12" w:space="0" w:color="000000"/>
              <w:right w:val="single" w:sz="12" w:space="0" w:color="FFFFFF"/>
            </w:tcBorders>
            <w:vAlign w:val="center"/>
          </w:tcPr>
          <w:p>
            <w:pPr>
              <w:pStyle w:val="LOnormal"/>
              <w:shd w:val="clear" w:fill="FFFFFF"/>
              <w:spacing w:lineRule="auto" w:line="276"/>
              <w:jc w:val="center"/>
              <w:rPr>
                <w:rFonts w:ascii="arial" w:hAnsi="arial"/>
              </w:rPr>
            </w:pPr>
            <w:r>
              <w:rPr>
                <w:rFonts w:ascii="arial" w:hAnsi="arial"/>
                <w:color w:val="0E101A"/>
              </w:rPr>
              <w:t>121.891</w:t>
            </w:r>
          </w:p>
        </w:tc>
        <w:tc>
          <w:tcPr>
            <w:tcW w:w="1336"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rFonts w:ascii="arial" w:hAnsi="arial"/>
              </w:rPr>
            </w:pPr>
            <w:r>
              <w:rPr>
                <w:rFonts w:ascii="arial" w:hAnsi="arial"/>
              </w:rPr>
              <w:t>-</w:t>
            </w:r>
          </w:p>
        </w:tc>
        <w:tc>
          <w:tcPr>
            <w:tcW w:w="1243" w:type="dxa"/>
            <w:tcBorders>
              <w:top w:val="single" w:sz="12" w:space="0" w:color="000000"/>
              <w:left w:val="single" w:sz="12" w:space="0" w:color="FFFFFF"/>
              <w:bottom w:val="single" w:sz="12" w:space="0" w:color="000000"/>
              <w:right w:val="single" w:sz="12" w:space="0" w:color="FFFFFF"/>
            </w:tcBorders>
            <w:vAlign w:val="center"/>
          </w:tcPr>
          <w:p>
            <w:pPr>
              <w:pStyle w:val="LOnormal"/>
              <w:shd w:val="clear" w:fill="FFFFFF"/>
              <w:spacing w:lineRule="auto" w:line="276"/>
              <w:jc w:val="center"/>
              <w:rPr>
                <w:rFonts w:ascii="arial" w:hAnsi="arial"/>
              </w:rPr>
            </w:pPr>
            <w:r>
              <w:rPr>
                <w:rFonts w:ascii="arial" w:hAnsi="arial"/>
              </w:rPr>
              <w:t xml:space="preserve"> </w:t>
            </w:r>
            <w:r>
              <w:rPr>
                <w:rFonts w:ascii="arial" w:hAnsi="arial"/>
                <w:color w:val="0E101A"/>
              </w:rPr>
              <w:t>0.66682</w:t>
            </w:r>
          </w:p>
        </w:tc>
        <w:tc>
          <w:tcPr>
            <w:tcW w:w="1485"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rFonts w:ascii="arial" w:hAnsi="arial"/>
              </w:rPr>
            </w:pPr>
            <w:r>
              <w:rPr>
                <w:rFonts w:ascii="arial" w:hAnsi="arial"/>
              </w:rPr>
              <w:t>-</w:t>
            </w:r>
          </w:p>
        </w:tc>
      </w:tr>
      <w:tr>
        <w:trPr>
          <w:trHeight w:val="566" w:hRule="atLeast"/>
        </w:trPr>
        <w:tc>
          <w:tcPr>
            <w:tcW w:w="1830"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b/>
                <w:b/>
              </w:rPr>
            </w:pPr>
            <w:r>
              <w:rPr>
                <w:rFonts w:ascii="arial" w:hAnsi="arial"/>
                <w:b/>
              </w:rPr>
              <w:t>Total</w:t>
            </w:r>
          </w:p>
        </w:tc>
        <w:tc>
          <w:tcPr>
            <w:tcW w:w="1350"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rFonts w:ascii="arial" w:hAnsi="arial"/>
              </w:rPr>
            </w:pPr>
            <w:r>
              <w:rPr>
                <w:rFonts w:ascii="arial" w:hAnsi="arial"/>
              </w:rPr>
              <w:t>492</w:t>
            </w:r>
          </w:p>
        </w:tc>
        <w:tc>
          <w:tcPr>
            <w:tcW w:w="1470"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rFonts w:ascii="arial" w:hAnsi="arial"/>
              </w:rPr>
            </w:pPr>
            <w:r>
              <w:rPr>
                <w:rFonts w:ascii="arial" w:hAnsi="arial"/>
                <w:color w:val="0E101A"/>
              </w:rPr>
              <w:t>182.795</w:t>
            </w:r>
          </w:p>
        </w:tc>
        <w:tc>
          <w:tcPr>
            <w:tcW w:w="1336"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rFonts w:ascii="arial" w:hAnsi="arial"/>
              </w:rPr>
            </w:pPr>
            <w:r>
              <w:rPr>
                <w:rFonts w:ascii="arial" w:hAnsi="arial"/>
              </w:rPr>
              <w:t>-</w:t>
            </w:r>
          </w:p>
        </w:tc>
        <w:tc>
          <w:tcPr>
            <w:tcW w:w="1243"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rFonts w:ascii="arial" w:hAnsi="arial"/>
              </w:rPr>
            </w:pPr>
            <w:r>
              <w:rPr>
                <w:rFonts w:ascii="arial" w:hAnsi="arial"/>
              </w:rPr>
              <w:t>1.000</w:t>
            </w:r>
          </w:p>
        </w:tc>
        <w:tc>
          <w:tcPr>
            <w:tcW w:w="1485"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rFonts w:ascii="arial" w:hAnsi="arial"/>
              </w:rPr>
            </w:pPr>
            <w:r>
              <w:rPr>
                <w:rFonts w:ascii="arial" w:hAnsi="arial"/>
              </w:rPr>
              <w:t>-</w:t>
            </w:r>
          </w:p>
        </w:tc>
      </w:tr>
    </w:tbl>
    <w:p>
      <w:pPr>
        <w:pStyle w:val="LOnormal"/>
        <w:jc w:val="both"/>
        <w:rPr>
          <w:rFonts w:ascii="arial" w:hAnsi="arial"/>
        </w:rPr>
      </w:pPr>
      <w:r>
        <w:rPr>
          <w:rFonts w:ascii="arial" w:hAnsi="arial"/>
        </w:rPr>
        <w:t>---</w:t>
      </w:r>
    </w:p>
    <w:p>
      <w:pPr>
        <w:pStyle w:val="LOnormal"/>
        <w:jc w:val="both"/>
        <w:rPr>
          <w:rFonts w:ascii="arial" w:hAnsi="arial"/>
        </w:rPr>
      </w:pPr>
      <w:r>
        <w:rPr>
          <w:rFonts w:ascii="arial" w:hAnsi="arial"/>
        </w:rPr>
        <w:t xml:space="preserve">Df: Degrees of freedom, </w:t>
      </w:r>
      <w:r>
        <w:rPr>
          <w:rFonts w:ascii="arial" w:hAnsi="arial"/>
          <w:i/>
        </w:rPr>
        <w:t>F</w:t>
      </w:r>
      <w:r>
        <w:rPr>
          <w:rFonts w:ascii="arial" w:hAnsi="arial"/>
        </w:rPr>
        <w:t xml:space="preserve">-Model: </w:t>
      </w:r>
      <w:r>
        <w:rPr>
          <w:rFonts w:ascii="arial" w:hAnsi="arial"/>
          <w:i/>
        </w:rPr>
        <w:t>pseudo F</w:t>
      </w:r>
      <w:r>
        <w:rPr>
          <w:rFonts w:ascii="arial" w:hAnsi="arial"/>
        </w:rPr>
        <w:t>-test statistic, R</w:t>
      </w:r>
      <w:r>
        <w:rPr>
          <w:rFonts w:ascii="arial" w:hAnsi="arial"/>
          <w:vertAlign w:val="superscript"/>
        </w:rPr>
        <w:t>2</w:t>
      </w:r>
      <w:r>
        <w:rPr>
          <w:rFonts w:ascii="arial" w:hAnsi="arial"/>
        </w:rPr>
        <w:t xml:space="preserve">: Variance explained and </w:t>
      </w:r>
      <w:r>
        <w:rPr>
          <w:rFonts w:ascii="arial" w:hAnsi="arial"/>
          <w:i/>
        </w:rPr>
        <w:t xml:space="preserve">p </w:t>
      </w:r>
      <w:r>
        <w:rPr>
          <w:rFonts w:ascii="arial" w:hAnsi="arial"/>
        </w:rPr>
        <w:t>value based on 999 permutations.</w:t>
      </w:r>
    </w:p>
    <w:p>
      <w:pPr>
        <w:pStyle w:val="LOnormal"/>
        <w:jc w:val="both"/>
        <w:rPr>
          <w:b/>
          <w:b/>
        </w:rPr>
      </w:pPr>
      <w:r>
        <w:rPr/>
      </w:r>
    </w:p>
    <w:p>
      <w:pPr>
        <w:pStyle w:val="LOnormal"/>
        <w:jc w:val="both"/>
        <w:rPr/>
      </w:pPr>
      <w:r>
        <w:rPr>
          <w:rFonts w:ascii="arial" w:hAnsi="arial"/>
          <w:b/>
          <w:sz w:val="22"/>
          <w:szCs w:val="22"/>
        </w:rPr>
        <w:t>S</w:t>
      </w:r>
      <w: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120130" cy="3357880"/>
            <wp:effectExtent l="0" t="0" r="0" b="0"/>
            <wp:wrapSquare wrapText="bothSides"/>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120130" cy="3357880"/>
                    </a:xfrm>
                    <a:prstGeom prst="rect">
                      <a:avLst/>
                    </a:prstGeom>
                  </pic:spPr>
                </pic:pic>
              </a:graphicData>
            </a:graphic>
          </wp:anchor>
        </w:drawing>
      </w:r>
      <w:r>
        <w:rPr>
          <w:rFonts w:ascii="arial" w:hAnsi="arial"/>
          <w:b/>
          <w:sz w:val="22"/>
          <w:szCs w:val="22"/>
        </w:rPr>
        <w:t>u</w:t>
      </w:r>
      <w:r>
        <w:rPr>
          <w:rFonts w:ascii="arial" w:hAnsi="arial"/>
          <w:b/>
          <w:sz w:val="22"/>
          <w:szCs w:val="22"/>
        </w:rPr>
        <w:t>pplementary Figure 2.1.</w:t>
      </w:r>
      <w:r>
        <w:rPr>
          <w:b/>
        </w:rPr>
        <w:t xml:space="preserve"> </w:t>
      </w:r>
      <w:bookmarkStart w:id="3" w:name="docs-internal-guid-570704a2-7fff-1649-2e"/>
      <w:bookmarkEnd w:id="3"/>
      <w:r>
        <w:rPr>
          <w:rFonts w:ascii="Arial;sans-serif" w:hAnsi="Arial;sans-serif"/>
          <w:b w:val="false"/>
          <w:i w:val="false"/>
          <w:caps w:val="false"/>
          <w:smallCaps w:val="false"/>
          <w:strike w:val="false"/>
          <w:dstrike w:val="false"/>
          <w:color w:val="0E101A"/>
          <w:sz w:val="22"/>
          <w:u w:val="none"/>
          <w:effect w:val="none"/>
        </w:rPr>
        <w:t>Principal component analysis (PCA) for ASV-level microbiome in house mice. Each dot represent an individual and colour code the hybridicity value for each mouse. Lack of clustering by host genetics or temporal and geographical features represented in two principal components PC1 and PC2 projection, which explained a low proportion of the total variance, though sampling location explained more than 30% of the microbial compositional variation (Bray-Curtis dissimilarity) but was not significant. Conversely, how hybridised a mouse is explained a smaller but significant proportion of these compositional changes.</w:t>
      </w:r>
      <w:r>
        <w:rPr>
          <w:b/>
        </w:rPr>
        <w:t xml:space="preserve"> </w:t>
      </w:r>
    </w:p>
    <w:p>
      <w:pPr>
        <w:pStyle w:val="LOnormal"/>
        <w:jc w:val="both"/>
        <w:rPr>
          <w:b/>
          <w:b/>
        </w:rPr>
      </w:pPr>
      <w:r>
        <w:rPr>
          <w:rFonts w:ascii="arial" w:hAnsi="arial"/>
        </w:rPr>
      </w:r>
    </w:p>
    <w:p>
      <w:pPr>
        <w:pStyle w:val="LOnormal"/>
        <w:jc w:val="both"/>
        <w:rPr>
          <w:b/>
          <w:b/>
        </w:rPr>
      </w:pPr>
      <w:r>
        <w:rPr>
          <w:rFonts w:ascii="arial" w:hAnsi="arial"/>
        </w:rPr>
      </w:r>
    </w:p>
    <w:tbl>
      <w:tblPr>
        <w:tblW w:w="9451" w:type="dxa"/>
        <w:jc w:val="left"/>
        <w:tblInd w:w="150" w:type="dxa"/>
        <w:tblCellMar>
          <w:top w:w="0" w:type="dxa"/>
          <w:left w:w="30" w:type="dxa"/>
          <w:bottom w:w="0" w:type="dxa"/>
          <w:right w:w="30" w:type="dxa"/>
        </w:tblCellMar>
      </w:tblPr>
      <w:tblGrid>
        <w:gridCol w:w="1260"/>
        <w:gridCol w:w="1166"/>
        <w:gridCol w:w="4951"/>
        <w:gridCol w:w="2073"/>
      </w:tblGrid>
      <w:tr>
        <w:trPr>
          <w:trHeight w:val="300" w:hRule="atLeast"/>
        </w:trPr>
        <w:tc>
          <w:tcPr>
            <w:tcW w:w="9450" w:type="dxa"/>
            <w:gridSpan w:val="4"/>
            <w:tcBorders/>
            <w:vAlign w:val="bottom"/>
          </w:tcPr>
          <w:p>
            <w:pPr>
              <w:pStyle w:val="Normal"/>
              <w:tabs>
                <w:tab w:val="clear" w:pos="720"/>
              </w:tabs>
              <w:jc w:val="center"/>
              <w:rPr>
                <w:rFonts w:ascii="arial" w:hAnsi="arial"/>
              </w:rPr>
            </w:pPr>
            <w:r>
              <w:rPr>
                <w:rFonts w:ascii="arial" w:hAnsi="arial"/>
                <w:b/>
              </w:rPr>
              <w:t xml:space="preserve">Supplement 3. Chromosomal ARG content predicted from 16S rRNA gene amplicon data of house mouse colon content </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b/>
              </w:rPr>
              <w:t>Kegg Ortholog</w:t>
            </w:r>
          </w:p>
        </w:tc>
        <w:tc>
          <w:tcPr>
            <w:tcW w:w="1166" w:type="dxa"/>
            <w:tcBorders/>
            <w:vAlign w:val="bottom"/>
          </w:tcPr>
          <w:p>
            <w:pPr>
              <w:pStyle w:val="Normal"/>
              <w:tabs>
                <w:tab w:val="clear" w:pos="720"/>
              </w:tabs>
              <w:jc w:val="left"/>
              <w:rPr>
                <w:rFonts w:ascii="arial" w:hAnsi="arial"/>
              </w:rPr>
            </w:pPr>
            <w:r>
              <w:rPr>
                <w:rFonts w:ascii="arial" w:hAnsi="arial"/>
                <w:b/>
              </w:rPr>
              <w:t>Gen</w:t>
            </w:r>
          </w:p>
        </w:tc>
        <w:tc>
          <w:tcPr>
            <w:tcW w:w="4951" w:type="dxa"/>
            <w:tcBorders/>
            <w:vAlign w:val="bottom"/>
          </w:tcPr>
          <w:p>
            <w:pPr>
              <w:pStyle w:val="Normal"/>
              <w:tabs>
                <w:tab w:val="clear" w:pos="720"/>
              </w:tabs>
              <w:jc w:val="left"/>
              <w:rPr>
                <w:rFonts w:ascii="arial" w:hAnsi="arial"/>
              </w:rPr>
            </w:pPr>
            <w:r>
              <w:rPr>
                <w:rFonts w:ascii="arial" w:hAnsi="arial"/>
                <w:b/>
              </w:rPr>
              <w:t>Description</w:t>
            </w:r>
          </w:p>
        </w:tc>
        <w:tc>
          <w:tcPr>
            <w:tcW w:w="2073" w:type="dxa"/>
            <w:tcBorders/>
            <w:vAlign w:val="bottom"/>
          </w:tcPr>
          <w:p>
            <w:pPr>
              <w:pStyle w:val="Normal"/>
              <w:tabs>
                <w:tab w:val="clear" w:pos="720"/>
              </w:tabs>
              <w:jc w:val="left"/>
              <w:rPr>
                <w:rFonts w:ascii="arial" w:hAnsi="arial"/>
              </w:rPr>
            </w:pPr>
            <w:r>
              <w:rPr>
                <w:rFonts w:ascii="arial" w:hAnsi="arial"/>
                <w:b/>
              </w:rPr>
              <w:t>Antibiotic type</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K03297</w:t>
            </w:r>
          </w:p>
        </w:tc>
        <w:tc>
          <w:tcPr>
            <w:tcW w:w="1166" w:type="dxa"/>
            <w:tcBorders/>
            <w:vAlign w:val="bottom"/>
          </w:tcPr>
          <w:p>
            <w:pPr>
              <w:pStyle w:val="Normal"/>
              <w:tabs>
                <w:tab w:val="clear" w:pos="720"/>
              </w:tabs>
              <w:jc w:val="left"/>
              <w:rPr>
                <w:rFonts w:ascii="arial" w:hAnsi="arial"/>
              </w:rPr>
            </w:pPr>
            <w:r>
              <w:rPr>
                <w:rFonts w:ascii="arial" w:hAnsi="arial"/>
              </w:rPr>
              <w:t>emrE</w:t>
            </w:r>
          </w:p>
        </w:tc>
        <w:tc>
          <w:tcPr>
            <w:tcW w:w="4951" w:type="dxa"/>
            <w:tcBorders/>
            <w:vAlign w:val="bottom"/>
          </w:tcPr>
          <w:p>
            <w:pPr>
              <w:pStyle w:val="Normal"/>
              <w:tabs>
                <w:tab w:val="clear" w:pos="720"/>
              </w:tabs>
              <w:jc w:val="left"/>
              <w:rPr>
                <w:rFonts w:ascii="arial" w:hAnsi="arial"/>
              </w:rPr>
            </w:pPr>
            <w:r>
              <w:rPr>
                <w:rFonts w:ascii="arial" w:hAnsi="arial"/>
              </w:rPr>
              <w:t>small multidrug resistance pump</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K03327</w:t>
            </w:r>
          </w:p>
        </w:tc>
        <w:tc>
          <w:tcPr>
            <w:tcW w:w="1166" w:type="dxa"/>
            <w:tcBorders/>
            <w:vAlign w:val="bottom"/>
          </w:tcPr>
          <w:p>
            <w:pPr>
              <w:pStyle w:val="Normal"/>
              <w:tabs>
                <w:tab w:val="clear" w:pos="720"/>
              </w:tabs>
              <w:jc w:val="left"/>
              <w:rPr>
                <w:rFonts w:ascii="arial" w:hAnsi="arial"/>
              </w:rPr>
            </w:pPr>
            <w:r>
              <w:rPr>
                <w:rFonts w:ascii="arial" w:hAnsi="arial"/>
              </w:rPr>
              <w:t>mdtK</w:t>
            </w:r>
          </w:p>
        </w:tc>
        <w:tc>
          <w:tcPr>
            <w:tcW w:w="4951" w:type="dxa"/>
            <w:tcBorders/>
            <w:vAlign w:val="bottom"/>
          </w:tcPr>
          <w:p>
            <w:pPr>
              <w:pStyle w:val="Normal"/>
              <w:tabs>
                <w:tab w:val="clear" w:pos="720"/>
              </w:tabs>
              <w:jc w:val="left"/>
              <w:rPr>
                <w:rFonts w:ascii="arial" w:hAnsi="arial"/>
              </w:rPr>
            </w:pPr>
            <w:r>
              <w:rPr>
                <w:rFonts w:ascii="arial" w:hAnsi="arial"/>
              </w:rPr>
              <w:t>multidrug and toxic compound extrusions transporter</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K03446</w:t>
            </w:r>
          </w:p>
        </w:tc>
        <w:tc>
          <w:tcPr>
            <w:tcW w:w="1166" w:type="dxa"/>
            <w:tcBorders/>
            <w:vAlign w:val="bottom"/>
          </w:tcPr>
          <w:p>
            <w:pPr>
              <w:pStyle w:val="Normal"/>
              <w:tabs>
                <w:tab w:val="clear" w:pos="720"/>
              </w:tabs>
              <w:jc w:val="left"/>
              <w:rPr>
                <w:rFonts w:ascii="arial" w:hAnsi="arial"/>
              </w:rPr>
            </w:pPr>
            <w:r>
              <w:rPr>
                <w:rFonts w:ascii="arial" w:hAnsi="arial"/>
              </w:rPr>
              <w:t>emrB</w:t>
            </w:r>
          </w:p>
        </w:tc>
        <w:tc>
          <w:tcPr>
            <w:tcW w:w="4951" w:type="dxa"/>
            <w:tcBorders/>
            <w:vAlign w:val="bottom"/>
          </w:tcPr>
          <w:p>
            <w:pPr>
              <w:pStyle w:val="Normal"/>
              <w:tabs>
                <w:tab w:val="clear" w:pos="720"/>
              </w:tabs>
              <w:jc w:val="left"/>
              <w:rPr>
                <w:rFonts w:ascii="arial" w:hAnsi="arial"/>
              </w:rPr>
            </w:pPr>
            <w:r>
              <w:rPr>
                <w:rFonts w:ascii="arial" w:hAnsi="arial"/>
              </w:rPr>
              <w:t>translocase in the emrB -TolC efflux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K03543</w:t>
            </w:r>
          </w:p>
        </w:tc>
        <w:tc>
          <w:tcPr>
            <w:tcW w:w="1166" w:type="dxa"/>
            <w:tcBorders/>
            <w:vAlign w:val="bottom"/>
          </w:tcPr>
          <w:p>
            <w:pPr>
              <w:pStyle w:val="Normal"/>
              <w:tabs>
                <w:tab w:val="clear" w:pos="720"/>
              </w:tabs>
              <w:jc w:val="left"/>
              <w:rPr>
                <w:rFonts w:ascii="arial" w:hAnsi="arial"/>
              </w:rPr>
            </w:pPr>
            <w:r>
              <w:rPr>
                <w:rFonts w:ascii="arial" w:hAnsi="arial"/>
              </w:rPr>
              <w:t>emrA</w:t>
            </w:r>
          </w:p>
        </w:tc>
        <w:tc>
          <w:tcPr>
            <w:tcW w:w="4951" w:type="dxa"/>
            <w:tcBorders/>
            <w:vAlign w:val="bottom"/>
          </w:tcPr>
          <w:p>
            <w:pPr>
              <w:pStyle w:val="Normal"/>
              <w:tabs>
                <w:tab w:val="clear" w:pos="720"/>
              </w:tabs>
              <w:jc w:val="left"/>
              <w:rPr>
                <w:rFonts w:ascii="arial" w:hAnsi="arial"/>
              </w:rPr>
            </w:pPr>
            <w:r>
              <w:rPr>
                <w:rFonts w:ascii="arial" w:hAnsi="arial"/>
              </w:rPr>
              <w:t>membrane fusion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K03585</w:t>
            </w:r>
          </w:p>
        </w:tc>
        <w:tc>
          <w:tcPr>
            <w:tcW w:w="1166" w:type="dxa"/>
            <w:tcBorders/>
            <w:vAlign w:val="bottom"/>
          </w:tcPr>
          <w:p>
            <w:pPr>
              <w:pStyle w:val="Normal"/>
              <w:tabs>
                <w:tab w:val="clear" w:pos="720"/>
              </w:tabs>
              <w:jc w:val="left"/>
              <w:rPr>
                <w:rFonts w:ascii="arial" w:hAnsi="arial"/>
              </w:rPr>
            </w:pPr>
            <w:r>
              <w:rPr>
                <w:rFonts w:ascii="arial" w:hAnsi="arial"/>
              </w:rPr>
              <w:t>acrA</w:t>
            </w:r>
          </w:p>
        </w:tc>
        <w:tc>
          <w:tcPr>
            <w:tcW w:w="4951" w:type="dxa"/>
            <w:tcBorders/>
            <w:vAlign w:val="bottom"/>
          </w:tcPr>
          <w:p>
            <w:pPr>
              <w:pStyle w:val="Normal"/>
              <w:tabs>
                <w:tab w:val="clear" w:pos="720"/>
              </w:tabs>
              <w:jc w:val="left"/>
              <w:rPr>
                <w:rFonts w:ascii="arial" w:hAnsi="arial"/>
              </w:rPr>
            </w:pPr>
            <w:r>
              <w:rPr>
                <w:rFonts w:ascii="arial" w:hAnsi="arial"/>
              </w:rPr>
              <w:t>subunit of AcrA-AcrB-TolC multidrug efflux complex</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K06159</w:t>
            </w:r>
          </w:p>
        </w:tc>
        <w:tc>
          <w:tcPr>
            <w:tcW w:w="1166" w:type="dxa"/>
            <w:tcBorders/>
            <w:vAlign w:val="bottom"/>
          </w:tcPr>
          <w:p>
            <w:pPr>
              <w:pStyle w:val="Normal"/>
              <w:tabs>
                <w:tab w:val="clear" w:pos="720"/>
              </w:tabs>
              <w:jc w:val="left"/>
              <w:rPr>
                <w:rFonts w:ascii="arial" w:hAnsi="arial"/>
              </w:rPr>
            </w:pPr>
            <w:r>
              <w:rPr>
                <w:rFonts w:ascii="arial" w:hAnsi="arial"/>
              </w:rPr>
              <w:t>yojI</w:t>
            </w:r>
          </w:p>
        </w:tc>
        <w:tc>
          <w:tcPr>
            <w:tcW w:w="4951" w:type="dxa"/>
            <w:tcBorders/>
            <w:vAlign w:val="bottom"/>
          </w:tcPr>
          <w:p>
            <w:pPr>
              <w:pStyle w:val="Normal"/>
              <w:tabs>
                <w:tab w:val="clear" w:pos="720"/>
              </w:tabs>
              <w:jc w:val="left"/>
              <w:rPr>
                <w:rFonts w:ascii="arial" w:hAnsi="arial"/>
              </w:rPr>
            </w:pPr>
            <w:r>
              <w:rPr>
                <w:rFonts w:ascii="arial" w:hAnsi="arial"/>
              </w:rPr>
              <w:t>multidrug/microcin transport system ATP-binding/permease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K07552</w:t>
            </w:r>
          </w:p>
        </w:tc>
        <w:tc>
          <w:tcPr>
            <w:tcW w:w="1166" w:type="dxa"/>
            <w:tcBorders/>
            <w:vAlign w:val="bottom"/>
          </w:tcPr>
          <w:p>
            <w:pPr>
              <w:pStyle w:val="Normal"/>
              <w:tabs>
                <w:tab w:val="clear" w:pos="720"/>
              </w:tabs>
              <w:jc w:val="left"/>
              <w:rPr>
                <w:rFonts w:ascii="arial" w:hAnsi="arial"/>
              </w:rPr>
            </w:pPr>
            <w:r>
              <w:rPr>
                <w:rFonts w:ascii="arial" w:hAnsi="arial"/>
              </w:rPr>
              <w:t>bcrC</w:t>
            </w:r>
          </w:p>
        </w:tc>
        <w:tc>
          <w:tcPr>
            <w:tcW w:w="4951" w:type="dxa"/>
            <w:tcBorders/>
            <w:vAlign w:val="bottom"/>
          </w:tcPr>
          <w:p>
            <w:pPr>
              <w:pStyle w:val="Normal"/>
              <w:tabs>
                <w:tab w:val="clear" w:pos="720"/>
              </w:tabs>
              <w:jc w:val="left"/>
              <w:rPr>
                <w:rFonts w:ascii="arial" w:hAnsi="arial"/>
              </w:rPr>
            </w:pPr>
            <w:r>
              <w:rPr>
                <w:rFonts w:ascii="arial" w:hAnsi="arial"/>
              </w:rPr>
              <w:t>undecaprenyl pyrophosphate phosphatase</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K07786</w:t>
            </w:r>
          </w:p>
        </w:tc>
        <w:tc>
          <w:tcPr>
            <w:tcW w:w="1166" w:type="dxa"/>
            <w:tcBorders/>
            <w:vAlign w:val="bottom"/>
          </w:tcPr>
          <w:p>
            <w:pPr>
              <w:pStyle w:val="Normal"/>
              <w:tabs>
                <w:tab w:val="clear" w:pos="720"/>
              </w:tabs>
              <w:jc w:val="left"/>
              <w:rPr>
                <w:rFonts w:ascii="arial" w:hAnsi="arial"/>
              </w:rPr>
            </w:pPr>
            <w:r>
              <w:rPr>
                <w:rFonts w:ascii="arial" w:hAnsi="arial"/>
              </w:rPr>
              <w:t>emrY</w:t>
            </w:r>
          </w:p>
        </w:tc>
        <w:tc>
          <w:tcPr>
            <w:tcW w:w="4951" w:type="dxa"/>
            <w:tcBorders/>
            <w:vAlign w:val="bottom"/>
          </w:tcPr>
          <w:p>
            <w:pPr>
              <w:pStyle w:val="Normal"/>
              <w:tabs>
                <w:tab w:val="clear" w:pos="720"/>
              </w:tabs>
              <w:jc w:val="left"/>
              <w:rPr>
                <w:rFonts w:ascii="arial" w:hAnsi="arial"/>
              </w:rPr>
            </w:pPr>
            <w:r>
              <w:rPr>
                <w:rFonts w:ascii="arial" w:hAnsi="arial"/>
              </w:rPr>
              <w:t>multidrug resistance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K07788</w:t>
            </w:r>
          </w:p>
        </w:tc>
        <w:tc>
          <w:tcPr>
            <w:tcW w:w="1166" w:type="dxa"/>
            <w:tcBorders/>
            <w:vAlign w:val="bottom"/>
          </w:tcPr>
          <w:p>
            <w:pPr>
              <w:pStyle w:val="Normal"/>
              <w:tabs>
                <w:tab w:val="clear" w:pos="720"/>
              </w:tabs>
              <w:jc w:val="left"/>
              <w:rPr>
                <w:rFonts w:ascii="arial" w:hAnsi="arial"/>
              </w:rPr>
            </w:pPr>
            <w:r>
              <w:rPr>
                <w:rFonts w:ascii="arial" w:hAnsi="arial"/>
              </w:rPr>
              <w:t>mdtB</w:t>
            </w:r>
          </w:p>
        </w:tc>
        <w:tc>
          <w:tcPr>
            <w:tcW w:w="4951" w:type="dxa"/>
            <w:tcBorders/>
            <w:vAlign w:val="bottom"/>
          </w:tcPr>
          <w:p>
            <w:pPr>
              <w:pStyle w:val="Normal"/>
              <w:tabs>
                <w:tab w:val="clear" w:pos="720"/>
              </w:tabs>
              <w:jc w:val="left"/>
              <w:rPr>
                <w:rFonts w:ascii="arial" w:hAnsi="arial"/>
              </w:rPr>
            </w:pPr>
            <w:r>
              <w:rPr>
                <w:rFonts w:ascii="arial" w:hAnsi="arial"/>
              </w:rPr>
              <w:t>multidrug efflux pump</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K07789</w:t>
            </w:r>
          </w:p>
        </w:tc>
        <w:tc>
          <w:tcPr>
            <w:tcW w:w="1166" w:type="dxa"/>
            <w:tcBorders/>
            <w:vAlign w:val="bottom"/>
          </w:tcPr>
          <w:p>
            <w:pPr>
              <w:pStyle w:val="Normal"/>
              <w:tabs>
                <w:tab w:val="clear" w:pos="720"/>
              </w:tabs>
              <w:jc w:val="left"/>
              <w:rPr>
                <w:rFonts w:ascii="arial" w:hAnsi="arial"/>
              </w:rPr>
            </w:pPr>
            <w:r>
              <w:rPr>
                <w:rFonts w:ascii="arial" w:hAnsi="arial"/>
              </w:rPr>
              <w:t>mdtC</w:t>
            </w:r>
          </w:p>
        </w:tc>
        <w:tc>
          <w:tcPr>
            <w:tcW w:w="4951" w:type="dxa"/>
            <w:tcBorders/>
            <w:vAlign w:val="bottom"/>
          </w:tcPr>
          <w:p>
            <w:pPr>
              <w:pStyle w:val="Normal"/>
              <w:tabs>
                <w:tab w:val="clear" w:pos="720"/>
              </w:tabs>
              <w:jc w:val="left"/>
              <w:rPr>
                <w:rFonts w:ascii="arial" w:hAnsi="arial"/>
              </w:rPr>
            </w:pPr>
            <w:r>
              <w:rPr>
                <w:rFonts w:ascii="arial" w:hAnsi="arial"/>
              </w:rPr>
              <w:t>multidrug efflux pump</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K07797</w:t>
            </w:r>
          </w:p>
        </w:tc>
        <w:tc>
          <w:tcPr>
            <w:tcW w:w="1166" w:type="dxa"/>
            <w:tcBorders/>
            <w:vAlign w:val="bottom"/>
          </w:tcPr>
          <w:p>
            <w:pPr>
              <w:pStyle w:val="Normal"/>
              <w:tabs>
                <w:tab w:val="clear" w:pos="720"/>
              </w:tabs>
              <w:jc w:val="left"/>
              <w:rPr>
                <w:rFonts w:ascii="arial" w:hAnsi="arial"/>
              </w:rPr>
            </w:pPr>
            <w:r>
              <w:rPr>
                <w:rFonts w:ascii="arial" w:hAnsi="arial"/>
              </w:rPr>
              <w:t>emrK</w:t>
            </w:r>
          </w:p>
        </w:tc>
        <w:tc>
          <w:tcPr>
            <w:tcW w:w="4951" w:type="dxa"/>
            <w:tcBorders/>
            <w:vAlign w:val="bottom"/>
          </w:tcPr>
          <w:p>
            <w:pPr>
              <w:pStyle w:val="Normal"/>
              <w:tabs>
                <w:tab w:val="clear" w:pos="720"/>
              </w:tabs>
              <w:jc w:val="left"/>
              <w:rPr>
                <w:rFonts w:ascii="arial" w:hAnsi="arial"/>
              </w:rPr>
            </w:pPr>
            <w:r>
              <w:rPr>
                <w:rFonts w:ascii="arial" w:hAnsi="arial"/>
              </w:rPr>
              <w:t>multidrug resistance protein K</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K07799</w:t>
            </w:r>
          </w:p>
        </w:tc>
        <w:tc>
          <w:tcPr>
            <w:tcW w:w="1166" w:type="dxa"/>
            <w:tcBorders/>
            <w:vAlign w:val="bottom"/>
          </w:tcPr>
          <w:p>
            <w:pPr>
              <w:pStyle w:val="Normal"/>
              <w:tabs>
                <w:tab w:val="clear" w:pos="720"/>
              </w:tabs>
              <w:jc w:val="left"/>
              <w:rPr>
                <w:rFonts w:ascii="arial" w:hAnsi="arial"/>
              </w:rPr>
            </w:pPr>
            <w:r>
              <w:rPr>
                <w:rFonts w:ascii="arial" w:hAnsi="arial"/>
              </w:rPr>
              <w:t>mdtA</w:t>
            </w:r>
          </w:p>
        </w:tc>
        <w:tc>
          <w:tcPr>
            <w:tcW w:w="4951" w:type="dxa"/>
            <w:tcBorders/>
            <w:vAlign w:val="bottom"/>
          </w:tcPr>
          <w:p>
            <w:pPr>
              <w:pStyle w:val="Normal"/>
              <w:tabs>
                <w:tab w:val="clear" w:pos="720"/>
              </w:tabs>
              <w:jc w:val="left"/>
              <w:rPr>
                <w:rFonts w:ascii="arial" w:hAnsi="arial"/>
              </w:rPr>
            </w:pPr>
            <w:r>
              <w:rPr>
                <w:rFonts w:ascii="arial" w:hAnsi="arial"/>
              </w:rPr>
              <w:t>multidrug efflux system</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K08152</w:t>
            </w:r>
          </w:p>
        </w:tc>
        <w:tc>
          <w:tcPr>
            <w:tcW w:w="1166" w:type="dxa"/>
            <w:tcBorders/>
            <w:vAlign w:val="bottom"/>
          </w:tcPr>
          <w:p>
            <w:pPr>
              <w:pStyle w:val="Normal"/>
              <w:tabs>
                <w:tab w:val="clear" w:pos="720"/>
              </w:tabs>
              <w:jc w:val="left"/>
              <w:rPr>
                <w:rFonts w:ascii="arial" w:hAnsi="arial"/>
              </w:rPr>
            </w:pPr>
            <w:r>
              <w:rPr>
                <w:rFonts w:ascii="arial" w:hAnsi="arial"/>
              </w:rPr>
              <w:t>lmrP</w:t>
            </w:r>
          </w:p>
        </w:tc>
        <w:tc>
          <w:tcPr>
            <w:tcW w:w="4951" w:type="dxa"/>
            <w:tcBorders/>
            <w:vAlign w:val="bottom"/>
          </w:tcPr>
          <w:p>
            <w:pPr>
              <w:pStyle w:val="Normal"/>
              <w:tabs>
                <w:tab w:val="clear" w:pos="720"/>
              </w:tabs>
              <w:jc w:val="left"/>
              <w:rPr>
                <w:rFonts w:ascii="arial" w:hAnsi="arial"/>
              </w:rPr>
            </w:pPr>
            <w:r>
              <w:rPr>
                <w:rFonts w:ascii="arial" w:hAnsi="arial"/>
              </w:rPr>
              <w:t>multidrug resistance protein B</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K08153</w:t>
            </w:r>
          </w:p>
        </w:tc>
        <w:tc>
          <w:tcPr>
            <w:tcW w:w="1166" w:type="dxa"/>
            <w:tcBorders/>
            <w:vAlign w:val="bottom"/>
          </w:tcPr>
          <w:p>
            <w:pPr>
              <w:pStyle w:val="Normal"/>
              <w:tabs>
                <w:tab w:val="clear" w:pos="720"/>
              </w:tabs>
              <w:jc w:val="left"/>
              <w:rPr>
                <w:rFonts w:ascii="arial" w:hAnsi="arial"/>
              </w:rPr>
            </w:pPr>
            <w:r>
              <w:rPr>
                <w:rFonts w:ascii="arial" w:hAnsi="arial"/>
              </w:rPr>
              <w:t>blt</w:t>
            </w:r>
          </w:p>
        </w:tc>
        <w:tc>
          <w:tcPr>
            <w:tcW w:w="4951" w:type="dxa"/>
            <w:tcBorders/>
            <w:vAlign w:val="bottom"/>
          </w:tcPr>
          <w:p>
            <w:pPr>
              <w:pStyle w:val="Normal"/>
              <w:tabs>
                <w:tab w:val="clear" w:pos="720"/>
              </w:tabs>
              <w:jc w:val="left"/>
              <w:rPr>
                <w:rFonts w:ascii="arial" w:hAnsi="arial"/>
              </w:rPr>
            </w:pPr>
            <w:r>
              <w:rPr>
                <w:rFonts w:ascii="arial" w:hAnsi="arial"/>
              </w:rPr>
              <w:t>multidrug resistance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K08160</w:t>
            </w:r>
          </w:p>
        </w:tc>
        <w:tc>
          <w:tcPr>
            <w:tcW w:w="1166" w:type="dxa"/>
            <w:tcBorders/>
            <w:vAlign w:val="bottom"/>
          </w:tcPr>
          <w:p>
            <w:pPr>
              <w:pStyle w:val="Normal"/>
              <w:tabs>
                <w:tab w:val="clear" w:pos="720"/>
              </w:tabs>
              <w:jc w:val="left"/>
              <w:rPr>
                <w:rFonts w:ascii="arial" w:hAnsi="arial"/>
              </w:rPr>
            </w:pPr>
            <w:r>
              <w:rPr>
                <w:rFonts w:ascii="arial" w:hAnsi="arial"/>
              </w:rPr>
              <w:t>mdfA</w:t>
            </w:r>
          </w:p>
        </w:tc>
        <w:tc>
          <w:tcPr>
            <w:tcW w:w="4951" w:type="dxa"/>
            <w:tcBorders/>
            <w:vAlign w:val="bottom"/>
          </w:tcPr>
          <w:p>
            <w:pPr>
              <w:pStyle w:val="Normal"/>
              <w:tabs>
                <w:tab w:val="clear" w:pos="720"/>
              </w:tabs>
              <w:jc w:val="left"/>
              <w:rPr>
                <w:rFonts w:ascii="arial" w:hAnsi="arial"/>
              </w:rPr>
            </w:pPr>
            <w:r>
              <w:rPr>
                <w:rFonts w:ascii="arial" w:hAnsi="arial"/>
              </w:rPr>
              <w:t>multidrug/chloramphenicol efflux transport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K08161</w:t>
            </w:r>
          </w:p>
        </w:tc>
        <w:tc>
          <w:tcPr>
            <w:tcW w:w="1166" w:type="dxa"/>
            <w:tcBorders/>
            <w:vAlign w:val="bottom"/>
          </w:tcPr>
          <w:p>
            <w:pPr>
              <w:pStyle w:val="Normal"/>
              <w:tabs>
                <w:tab w:val="clear" w:pos="720"/>
              </w:tabs>
              <w:jc w:val="left"/>
              <w:rPr>
                <w:rFonts w:ascii="arial" w:hAnsi="arial"/>
              </w:rPr>
            </w:pPr>
            <w:r>
              <w:rPr>
                <w:rFonts w:ascii="arial" w:hAnsi="arial"/>
              </w:rPr>
              <w:t>mdtG</w:t>
            </w:r>
          </w:p>
        </w:tc>
        <w:tc>
          <w:tcPr>
            <w:tcW w:w="4951" w:type="dxa"/>
            <w:tcBorders/>
            <w:vAlign w:val="bottom"/>
          </w:tcPr>
          <w:p>
            <w:pPr>
              <w:pStyle w:val="Normal"/>
              <w:tabs>
                <w:tab w:val="clear" w:pos="720"/>
              </w:tabs>
              <w:jc w:val="left"/>
              <w:rPr>
                <w:rFonts w:ascii="arial" w:hAnsi="arial"/>
              </w:rPr>
            </w:pPr>
            <w:r>
              <w:rPr>
                <w:rFonts w:ascii="arial" w:hAnsi="arial"/>
              </w:rPr>
              <w:t>multidrug resistance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K08162</w:t>
            </w:r>
          </w:p>
        </w:tc>
        <w:tc>
          <w:tcPr>
            <w:tcW w:w="1166" w:type="dxa"/>
            <w:tcBorders/>
            <w:vAlign w:val="bottom"/>
          </w:tcPr>
          <w:p>
            <w:pPr>
              <w:pStyle w:val="Normal"/>
              <w:tabs>
                <w:tab w:val="clear" w:pos="720"/>
              </w:tabs>
              <w:jc w:val="left"/>
              <w:rPr>
                <w:rFonts w:ascii="arial" w:hAnsi="arial"/>
              </w:rPr>
            </w:pPr>
            <w:r>
              <w:rPr>
                <w:rFonts w:ascii="arial" w:hAnsi="arial"/>
              </w:rPr>
              <w:t>mdtH</w:t>
            </w:r>
          </w:p>
        </w:tc>
        <w:tc>
          <w:tcPr>
            <w:tcW w:w="4951" w:type="dxa"/>
            <w:tcBorders/>
            <w:vAlign w:val="bottom"/>
          </w:tcPr>
          <w:p>
            <w:pPr>
              <w:pStyle w:val="Normal"/>
              <w:tabs>
                <w:tab w:val="clear" w:pos="720"/>
              </w:tabs>
              <w:jc w:val="left"/>
              <w:rPr>
                <w:rFonts w:ascii="arial" w:hAnsi="arial"/>
              </w:rPr>
            </w:pPr>
            <w:r>
              <w:rPr>
                <w:rFonts w:ascii="arial" w:hAnsi="arial"/>
              </w:rPr>
              <w:t>multidrug resistance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K08163</w:t>
            </w:r>
          </w:p>
        </w:tc>
        <w:tc>
          <w:tcPr>
            <w:tcW w:w="1166" w:type="dxa"/>
            <w:tcBorders/>
            <w:vAlign w:val="bottom"/>
          </w:tcPr>
          <w:p>
            <w:pPr>
              <w:pStyle w:val="Normal"/>
              <w:tabs>
                <w:tab w:val="clear" w:pos="720"/>
              </w:tabs>
              <w:jc w:val="left"/>
              <w:rPr>
                <w:rFonts w:ascii="arial" w:hAnsi="arial"/>
              </w:rPr>
            </w:pPr>
            <w:r>
              <w:rPr>
                <w:rFonts w:ascii="arial" w:hAnsi="arial"/>
              </w:rPr>
              <w:t>mdtL</w:t>
            </w:r>
          </w:p>
        </w:tc>
        <w:tc>
          <w:tcPr>
            <w:tcW w:w="4951" w:type="dxa"/>
            <w:tcBorders/>
            <w:vAlign w:val="bottom"/>
          </w:tcPr>
          <w:p>
            <w:pPr>
              <w:pStyle w:val="Normal"/>
              <w:tabs>
                <w:tab w:val="clear" w:pos="720"/>
              </w:tabs>
              <w:jc w:val="left"/>
              <w:rPr>
                <w:rFonts w:ascii="arial" w:hAnsi="arial"/>
              </w:rPr>
            </w:pPr>
            <w:r>
              <w:rPr>
                <w:rFonts w:ascii="arial" w:hAnsi="arial"/>
              </w:rPr>
              <w:t>multidrug resistance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K08166</w:t>
            </w:r>
          </w:p>
        </w:tc>
        <w:tc>
          <w:tcPr>
            <w:tcW w:w="1166" w:type="dxa"/>
            <w:tcBorders/>
            <w:vAlign w:val="bottom"/>
          </w:tcPr>
          <w:p>
            <w:pPr>
              <w:pStyle w:val="Normal"/>
              <w:tabs>
                <w:tab w:val="clear" w:pos="720"/>
              </w:tabs>
              <w:jc w:val="left"/>
              <w:rPr>
                <w:rFonts w:ascii="arial" w:hAnsi="arial"/>
              </w:rPr>
            </w:pPr>
            <w:r>
              <w:rPr>
                <w:rFonts w:ascii="arial" w:hAnsi="arial"/>
              </w:rPr>
              <w:t xml:space="preserve">mmr </w:t>
            </w:r>
          </w:p>
        </w:tc>
        <w:tc>
          <w:tcPr>
            <w:tcW w:w="4951" w:type="dxa"/>
            <w:tcBorders/>
            <w:vAlign w:val="bottom"/>
          </w:tcPr>
          <w:p>
            <w:pPr>
              <w:pStyle w:val="Normal"/>
              <w:tabs>
                <w:tab w:val="clear" w:pos="720"/>
              </w:tabs>
              <w:jc w:val="left"/>
              <w:rPr>
                <w:rFonts w:ascii="arial" w:hAnsi="arial"/>
              </w:rPr>
            </w:pPr>
            <w:r>
              <w:rPr>
                <w:rFonts w:ascii="arial" w:hAnsi="arial"/>
              </w:rPr>
              <w:t>methylenomycin A resistance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K08167</w:t>
            </w:r>
          </w:p>
        </w:tc>
        <w:tc>
          <w:tcPr>
            <w:tcW w:w="1166" w:type="dxa"/>
            <w:tcBorders/>
            <w:vAlign w:val="bottom"/>
          </w:tcPr>
          <w:p>
            <w:pPr>
              <w:pStyle w:val="Normal"/>
              <w:tabs>
                <w:tab w:val="clear" w:pos="720"/>
              </w:tabs>
              <w:jc w:val="left"/>
              <w:rPr>
                <w:rFonts w:ascii="arial" w:hAnsi="arial"/>
              </w:rPr>
            </w:pPr>
            <w:r>
              <w:rPr>
                <w:rFonts w:ascii="arial" w:hAnsi="arial"/>
              </w:rPr>
              <w:t>smvA</w:t>
            </w:r>
          </w:p>
        </w:tc>
        <w:tc>
          <w:tcPr>
            <w:tcW w:w="4951" w:type="dxa"/>
            <w:tcBorders/>
            <w:vAlign w:val="bottom"/>
          </w:tcPr>
          <w:p>
            <w:pPr>
              <w:pStyle w:val="Normal"/>
              <w:tabs>
                <w:tab w:val="clear" w:pos="720"/>
              </w:tabs>
              <w:jc w:val="left"/>
              <w:rPr>
                <w:rFonts w:ascii="arial" w:hAnsi="arial"/>
              </w:rPr>
            </w:pPr>
            <w:r>
              <w:rPr>
                <w:rFonts w:ascii="arial" w:hAnsi="arial"/>
              </w:rPr>
              <w:t>multidrug resistance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K08168</w:t>
            </w:r>
          </w:p>
        </w:tc>
        <w:tc>
          <w:tcPr>
            <w:tcW w:w="1166" w:type="dxa"/>
            <w:tcBorders/>
            <w:vAlign w:val="bottom"/>
          </w:tcPr>
          <w:p>
            <w:pPr>
              <w:pStyle w:val="Normal"/>
              <w:tabs>
                <w:tab w:val="clear" w:pos="720"/>
              </w:tabs>
              <w:jc w:val="left"/>
              <w:rPr>
                <w:rFonts w:ascii="arial" w:hAnsi="arial"/>
              </w:rPr>
            </w:pPr>
            <w:r>
              <w:rPr>
                <w:rFonts w:ascii="arial" w:hAnsi="arial"/>
              </w:rPr>
              <w:t>tetB</w:t>
            </w:r>
          </w:p>
        </w:tc>
        <w:tc>
          <w:tcPr>
            <w:tcW w:w="4951" w:type="dxa"/>
            <w:tcBorders/>
            <w:vAlign w:val="bottom"/>
          </w:tcPr>
          <w:p>
            <w:pPr>
              <w:pStyle w:val="Normal"/>
              <w:tabs>
                <w:tab w:val="clear" w:pos="720"/>
              </w:tabs>
              <w:jc w:val="left"/>
              <w:rPr>
                <w:rFonts w:ascii="arial" w:hAnsi="arial"/>
              </w:rPr>
            </w:pPr>
            <w:r>
              <w:rPr>
                <w:rFonts w:ascii="arial" w:hAnsi="arial"/>
              </w:rPr>
              <w:t>metal-tetracycline-proton antiporter</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T</w:t>
            </w:r>
            <w:r>
              <w:rPr>
                <w:rFonts w:ascii="arial" w:hAnsi="arial"/>
              </w:rPr>
              <w:t>etracycline</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K08169</w:t>
            </w:r>
          </w:p>
        </w:tc>
        <w:tc>
          <w:tcPr>
            <w:tcW w:w="1166" w:type="dxa"/>
            <w:tcBorders/>
            <w:vAlign w:val="bottom"/>
          </w:tcPr>
          <w:p>
            <w:pPr>
              <w:pStyle w:val="Normal"/>
              <w:tabs>
                <w:tab w:val="clear" w:pos="720"/>
              </w:tabs>
              <w:jc w:val="left"/>
              <w:rPr>
                <w:rFonts w:ascii="arial" w:hAnsi="arial"/>
              </w:rPr>
            </w:pPr>
            <w:r>
              <w:rPr>
                <w:rFonts w:ascii="arial" w:hAnsi="arial"/>
              </w:rPr>
              <w:t>yebQ</w:t>
            </w:r>
          </w:p>
        </w:tc>
        <w:tc>
          <w:tcPr>
            <w:tcW w:w="4951" w:type="dxa"/>
            <w:tcBorders/>
            <w:vAlign w:val="bottom"/>
          </w:tcPr>
          <w:p>
            <w:pPr>
              <w:pStyle w:val="Normal"/>
              <w:tabs>
                <w:tab w:val="clear" w:pos="720"/>
              </w:tabs>
              <w:jc w:val="left"/>
              <w:rPr>
                <w:rFonts w:ascii="arial" w:hAnsi="arial"/>
              </w:rPr>
            </w:pPr>
            <w:r>
              <w:rPr>
                <w:rFonts w:ascii="arial" w:hAnsi="arial"/>
              </w:rPr>
              <w:t>multidrug resistance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K08170</w:t>
            </w:r>
          </w:p>
        </w:tc>
        <w:tc>
          <w:tcPr>
            <w:tcW w:w="1166" w:type="dxa"/>
            <w:tcBorders/>
            <w:vAlign w:val="bottom"/>
          </w:tcPr>
          <w:p>
            <w:pPr>
              <w:pStyle w:val="Normal"/>
              <w:tabs>
                <w:tab w:val="clear" w:pos="720"/>
              </w:tabs>
              <w:jc w:val="left"/>
              <w:rPr>
                <w:rFonts w:ascii="arial" w:hAnsi="arial"/>
              </w:rPr>
            </w:pPr>
            <w:r>
              <w:rPr>
                <w:rFonts w:ascii="arial" w:hAnsi="arial"/>
              </w:rPr>
              <w:t>norB</w:t>
            </w:r>
          </w:p>
        </w:tc>
        <w:tc>
          <w:tcPr>
            <w:tcW w:w="4951" w:type="dxa"/>
            <w:tcBorders/>
            <w:vAlign w:val="bottom"/>
          </w:tcPr>
          <w:p>
            <w:pPr>
              <w:pStyle w:val="Normal"/>
              <w:tabs>
                <w:tab w:val="clear" w:pos="720"/>
              </w:tabs>
              <w:jc w:val="left"/>
              <w:rPr>
                <w:rFonts w:ascii="arial" w:hAnsi="arial"/>
              </w:rPr>
            </w:pPr>
            <w:r>
              <w:rPr>
                <w:rFonts w:ascii="arial" w:hAnsi="arial"/>
              </w:rPr>
              <w:t>multidrug resistance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K08217</w:t>
            </w:r>
          </w:p>
        </w:tc>
        <w:tc>
          <w:tcPr>
            <w:tcW w:w="1166" w:type="dxa"/>
            <w:tcBorders/>
            <w:vAlign w:val="bottom"/>
          </w:tcPr>
          <w:p>
            <w:pPr>
              <w:pStyle w:val="Normal"/>
              <w:tabs>
                <w:tab w:val="clear" w:pos="720"/>
              </w:tabs>
              <w:jc w:val="left"/>
              <w:rPr>
                <w:rFonts w:ascii="arial" w:hAnsi="arial"/>
              </w:rPr>
            </w:pPr>
            <w:r>
              <w:rPr>
                <w:rFonts w:ascii="arial" w:hAnsi="arial"/>
              </w:rPr>
              <w:t>mef</w:t>
            </w:r>
          </w:p>
        </w:tc>
        <w:tc>
          <w:tcPr>
            <w:tcW w:w="4951" w:type="dxa"/>
            <w:tcBorders/>
            <w:vAlign w:val="bottom"/>
          </w:tcPr>
          <w:p>
            <w:pPr>
              <w:pStyle w:val="Normal"/>
              <w:tabs>
                <w:tab w:val="clear" w:pos="720"/>
              </w:tabs>
              <w:jc w:val="left"/>
              <w:rPr>
                <w:rFonts w:ascii="arial" w:hAnsi="arial"/>
              </w:rPr>
            </w:pPr>
            <w:r>
              <w:rPr>
                <w:rFonts w:ascii="arial" w:hAnsi="arial"/>
              </w:rPr>
              <w:t>macrolide efflux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acrolide</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K08218</w:t>
            </w:r>
          </w:p>
        </w:tc>
        <w:tc>
          <w:tcPr>
            <w:tcW w:w="1166" w:type="dxa"/>
            <w:tcBorders/>
            <w:vAlign w:val="bottom"/>
          </w:tcPr>
          <w:p>
            <w:pPr>
              <w:pStyle w:val="Normal"/>
              <w:tabs>
                <w:tab w:val="clear" w:pos="720"/>
              </w:tabs>
              <w:jc w:val="left"/>
              <w:rPr>
                <w:rFonts w:ascii="arial" w:hAnsi="arial"/>
              </w:rPr>
            </w:pPr>
            <w:r>
              <w:rPr>
                <w:rFonts w:ascii="arial" w:hAnsi="arial"/>
              </w:rPr>
              <w:t>ampG</w:t>
            </w:r>
          </w:p>
        </w:tc>
        <w:tc>
          <w:tcPr>
            <w:tcW w:w="4951" w:type="dxa"/>
            <w:tcBorders/>
            <w:vAlign w:val="bottom"/>
          </w:tcPr>
          <w:p>
            <w:pPr>
              <w:pStyle w:val="Normal"/>
              <w:tabs>
                <w:tab w:val="clear" w:pos="720"/>
              </w:tabs>
              <w:jc w:val="left"/>
              <w:rPr>
                <w:rFonts w:ascii="arial" w:hAnsi="arial"/>
              </w:rPr>
            </w:pPr>
            <w:r>
              <w:rPr>
                <w:rFonts w:ascii="arial" w:hAnsi="arial"/>
              </w:rPr>
              <w:t>beta-lactamase induction signal transducer AmpG</w:t>
            </w:r>
          </w:p>
        </w:tc>
        <w:tc>
          <w:tcPr>
            <w:tcW w:w="2073" w:type="dxa"/>
            <w:tcBorders/>
            <w:vAlign w:val="bottom"/>
          </w:tcPr>
          <w:p>
            <w:pPr>
              <w:pStyle w:val="Normal"/>
              <w:tabs>
                <w:tab w:val="clear" w:pos="720"/>
              </w:tabs>
              <w:jc w:val="left"/>
              <w:rPr>
                <w:rFonts w:ascii="arial" w:hAnsi="arial"/>
              </w:rPr>
            </w:pPr>
            <w:r>
              <w:rPr>
                <w:rFonts w:ascii="arial" w:hAnsi="arial"/>
              </w:rPr>
              <w:t>Beta lactam</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K09771</w:t>
            </w:r>
          </w:p>
        </w:tc>
        <w:tc>
          <w:tcPr>
            <w:tcW w:w="1166" w:type="dxa"/>
            <w:tcBorders/>
            <w:vAlign w:val="bottom"/>
          </w:tcPr>
          <w:p>
            <w:pPr>
              <w:pStyle w:val="Normal"/>
              <w:tabs>
                <w:tab w:val="clear" w:pos="720"/>
              </w:tabs>
              <w:jc w:val="left"/>
              <w:rPr>
                <w:rFonts w:ascii="arial" w:hAnsi="arial"/>
              </w:rPr>
            </w:pPr>
            <w:r>
              <w:rPr>
                <w:rFonts w:ascii="arial" w:hAnsi="arial"/>
              </w:rPr>
              <w:t>ynfA</w:t>
            </w:r>
          </w:p>
        </w:tc>
        <w:tc>
          <w:tcPr>
            <w:tcW w:w="4951" w:type="dxa"/>
            <w:tcBorders/>
            <w:vAlign w:val="bottom"/>
          </w:tcPr>
          <w:p>
            <w:pPr>
              <w:pStyle w:val="Normal"/>
              <w:tabs>
                <w:tab w:val="clear" w:pos="720"/>
              </w:tabs>
              <w:jc w:val="left"/>
              <w:rPr>
                <w:rFonts w:ascii="arial" w:hAnsi="arial"/>
              </w:rPr>
            </w:pPr>
            <w:r>
              <w:rPr>
                <w:rFonts w:ascii="arial" w:hAnsi="arial"/>
              </w:rPr>
              <w:t>small multidrug resistance family-3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K15547</w:t>
            </w:r>
          </w:p>
        </w:tc>
        <w:tc>
          <w:tcPr>
            <w:tcW w:w="1166" w:type="dxa"/>
            <w:tcBorders/>
            <w:vAlign w:val="bottom"/>
          </w:tcPr>
          <w:p>
            <w:pPr>
              <w:pStyle w:val="Normal"/>
              <w:tabs>
                <w:tab w:val="clear" w:pos="720"/>
              </w:tabs>
              <w:jc w:val="left"/>
              <w:rPr>
                <w:rFonts w:ascii="arial" w:hAnsi="arial"/>
              </w:rPr>
            </w:pPr>
            <w:r>
              <w:rPr>
                <w:rFonts w:ascii="arial" w:hAnsi="arial"/>
              </w:rPr>
              <w:t>mdtO</w:t>
            </w:r>
          </w:p>
        </w:tc>
        <w:tc>
          <w:tcPr>
            <w:tcW w:w="4951" w:type="dxa"/>
            <w:tcBorders/>
            <w:vAlign w:val="bottom"/>
          </w:tcPr>
          <w:p>
            <w:pPr>
              <w:pStyle w:val="Normal"/>
              <w:tabs>
                <w:tab w:val="clear" w:pos="720"/>
              </w:tabs>
              <w:jc w:val="left"/>
              <w:rPr>
                <w:rFonts w:ascii="arial" w:hAnsi="arial"/>
              </w:rPr>
            </w:pPr>
            <w:r>
              <w:rPr>
                <w:rFonts w:ascii="arial" w:hAnsi="arial"/>
              </w:rPr>
              <w:t>multidrug resistance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K15549</w:t>
            </w:r>
          </w:p>
        </w:tc>
        <w:tc>
          <w:tcPr>
            <w:tcW w:w="1166" w:type="dxa"/>
            <w:tcBorders/>
            <w:vAlign w:val="bottom"/>
          </w:tcPr>
          <w:p>
            <w:pPr>
              <w:pStyle w:val="Normal"/>
              <w:tabs>
                <w:tab w:val="clear" w:pos="720"/>
              </w:tabs>
              <w:jc w:val="left"/>
              <w:rPr>
                <w:rFonts w:ascii="arial" w:hAnsi="arial"/>
              </w:rPr>
            </w:pPr>
            <w:r>
              <w:rPr>
                <w:rFonts w:ascii="arial" w:hAnsi="arial"/>
              </w:rPr>
              <w:t>mdtN</w:t>
            </w:r>
          </w:p>
        </w:tc>
        <w:tc>
          <w:tcPr>
            <w:tcW w:w="4951" w:type="dxa"/>
            <w:tcBorders/>
            <w:vAlign w:val="bottom"/>
          </w:tcPr>
          <w:p>
            <w:pPr>
              <w:pStyle w:val="Normal"/>
              <w:tabs>
                <w:tab w:val="clear" w:pos="720"/>
              </w:tabs>
              <w:jc w:val="left"/>
              <w:rPr>
                <w:rFonts w:ascii="arial" w:hAnsi="arial"/>
              </w:rPr>
            </w:pPr>
            <w:r>
              <w:rPr>
                <w:rFonts w:ascii="arial" w:hAnsi="arial"/>
              </w:rPr>
              <w:t>multidrug efflux system</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K15550</w:t>
            </w:r>
          </w:p>
        </w:tc>
        <w:tc>
          <w:tcPr>
            <w:tcW w:w="1166" w:type="dxa"/>
            <w:tcBorders/>
            <w:vAlign w:val="bottom"/>
          </w:tcPr>
          <w:p>
            <w:pPr>
              <w:pStyle w:val="Normal"/>
              <w:tabs>
                <w:tab w:val="clear" w:pos="720"/>
              </w:tabs>
              <w:jc w:val="left"/>
              <w:rPr>
                <w:rFonts w:ascii="arial" w:hAnsi="arial"/>
              </w:rPr>
            </w:pPr>
            <w:r>
              <w:rPr>
                <w:rFonts w:ascii="arial" w:hAnsi="arial"/>
              </w:rPr>
              <w:t>mdtP</w:t>
            </w:r>
          </w:p>
        </w:tc>
        <w:tc>
          <w:tcPr>
            <w:tcW w:w="4951" w:type="dxa"/>
            <w:tcBorders/>
            <w:vAlign w:val="bottom"/>
          </w:tcPr>
          <w:p>
            <w:pPr>
              <w:pStyle w:val="Normal"/>
              <w:tabs>
                <w:tab w:val="clear" w:pos="720"/>
              </w:tabs>
              <w:jc w:val="left"/>
              <w:rPr>
                <w:rFonts w:ascii="arial" w:hAnsi="arial"/>
              </w:rPr>
            </w:pPr>
            <w:r>
              <w:rPr>
                <w:rFonts w:ascii="arial" w:hAnsi="arial"/>
              </w:rPr>
              <w:t>multidrug efflux system</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K15974</w:t>
            </w:r>
          </w:p>
        </w:tc>
        <w:tc>
          <w:tcPr>
            <w:tcW w:w="1166" w:type="dxa"/>
            <w:tcBorders/>
            <w:vAlign w:val="bottom"/>
          </w:tcPr>
          <w:p>
            <w:pPr>
              <w:pStyle w:val="Normal"/>
              <w:tabs>
                <w:tab w:val="clear" w:pos="720"/>
              </w:tabs>
              <w:jc w:val="left"/>
              <w:rPr>
                <w:rFonts w:ascii="arial" w:hAnsi="arial"/>
              </w:rPr>
            </w:pPr>
            <w:r>
              <w:rPr>
                <w:rFonts w:ascii="arial" w:hAnsi="arial"/>
              </w:rPr>
              <w:t>emrR</w:t>
            </w:r>
          </w:p>
        </w:tc>
        <w:tc>
          <w:tcPr>
            <w:tcW w:w="4951" w:type="dxa"/>
            <w:tcBorders/>
            <w:vAlign w:val="bottom"/>
          </w:tcPr>
          <w:p>
            <w:pPr>
              <w:pStyle w:val="Normal"/>
              <w:tabs>
                <w:tab w:val="clear" w:pos="720"/>
              </w:tabs>
              <w:jc w:val="left"/>
              <w:rPr>
                <w:rFonts w:ascii="arial" w:hAnsi="arial"/>
              </w:rPr>
            </w:pPr>
            <w:r>
              <w:rPr>
                <w:rFonts w:ascii="arial" w:hAnsi="arial"/>
              </w:rPr>
              <w:t>negative regulator of the multidrug operon emrRAB</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K18094</w:t>
            </w:r>
          </w:p>
        </w:tc>
        <w:tc>
          <w:tcPr>
            <w:tcW w:w="1166" w:type="dxa"/>
            <w:tcBorders/>
            <w:vAlign w:val="bottom"/>
          </w:tcPr>
          <w:p>
            <w:pPr>
              <w:pStyle w:val="Normal"/>
              <w:tabs>
                <w:tab w:val="clear" w:pos="720"/>
              </w:tabs>
              <w:jc w:val="left"/>
              <w:rPr>
                <w:rFonts w:ascii="arial" w:hAnsi="arial"/>
              </w:rPr>
            </w:pPr>
            <w:r>
              <w:rPr>
                <w:rFonts w:ascii="arial" w:hAnsi="arial"/>
              </w:rPr>
              <w:t>mexX</w:t>
            </w:r>
          </w:p>
        </w:tc>
        <w:tc>
          <w:tcPr>
            <w:tcW w:w="4951" w:type="dxa"/>
            <w:tcBorders/>
            <w:vAlign w:val="bottom"/>
          </w:tcPr>
          <w:p>
            <w:pPr>
              <w:pStyle w:val="Normal"/>
              <w:tabs>
                <w:tab w:val="clear" w:pos="720"/>
              </w:tabs>
              <w:jc w:val="left"/>
              <w:rPr>
                <w:rFonts w:ascii="arial" w:hAnsi="arial"/>
              </w:rPr>
            </w:pPr>
            <w:r>
              <w:rPr>
                <w:rFonts w:ascii="arial" w:hAnsi="arial"/>
              </w:rPr>
              <w:t>multidrug efflux system</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K18095</w:t>
            </w:r>
          </w:p>
        </w:tc>
        <w:tc>
          <w:tcPr>
            <w:tcW w:w="1166" w:type="dxa"/>
            <w:tcBorders/>
            <w:vAlign w:val="bottom"/>
          </w:tcPr>
          <w:p>
            <w:pPr>
              <w:pStyle w:val="Normal"/>
              <w:tabs>
                <w:tab w:val="clear" w:pos="720"/>
              </w:tabs>
              <w:jc w:val="left"/>
              <w:rPr>
                <w:rFonts w:ascii="arial" w:hAnsi="arial"/>
              </w:rPr>
            </w:pPr>
            <w:r>
              <w:rPr>
                <w:rFonts w:ascii="arial" w:hAnsi="arial"/>
              </w:rPr>
              <w:t>mexY</w:t>
            </w:r>
          </w:p>
        </w:tc>
        <w:tc>
          <w:tcPr>
            <w:tcW w:w="4951" w:type="dxa"/>
            <w:tcBorders/>
            <w:vAlign w:val="bottom"/>
          </w:tcPr>
          <w:p>
            <w:pPr>
              <w:pStyle w:val="Normal"/>
              <w:tabs>
                <w:tab w:val="clear" w:pos="720"/>
              </w:tabs>
              <w:jc w:val="left"/>
              <w:rPr>
                <w:rFonts w:ascii="arial" w:hAnsi="arial"/>
              </w:rPr>
            </w:pPr>
            <w:r>
              <w:rPr>
                <w:rFonts w:ascii="arial" w:hAnsi="arial"/>
              </w:rPr>
              <w:t>multidrug efflux pump</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K18138</w:t>
            </w:r>
          </w:p>
        </w:tc>
        <w:tc>
          <w:tcPr>
            <w:tcW w:w="1166" w:type="dxa"/>
            <w:tcBorders/>
            <w:vAlign w:val="bottom"/>
          </w:tcPr>
          <w:p>
            <w:pPr>
              <w:pStyle w:val="Normal"/>
              <w:tabs>
                <w:tab w:val="clear" w:pos="720"/>
              </w:tabs>
              <w:jc w:val="left"/>
              <w:rPr>
                <w:rFonts w:ascii="arial" w:hAnsi="arial"/>
              </w:rPr>
            </w:pPr>
            <w:r>
              <w:rPr>
                <w:rFonts w:ascii="arial" w:hAnsi="arial"/>
              </w:rPr>
              <w:t>acrB</w:t>
            </w:r>
          </w:p>
        </w:tc>
        <w:tc>
          <w:tcPr>
            <w:tcW w:w="4951" w:type="dxa"/>
            <w:tcBorders/>
            <w:vAlign w:val="bottom"/>
          </w:tcPr>
          <w:p>
            <w:pPr>
              <w:pStyle w:val="Normal"/>
              <w:tabs>
                <w:tab w:val="clear" w:pos="720"/>
              </w:tabs>
              <w:jc w:val="left"/>
              <w:rPr>
                <w:rFonts w:ascii="arial" w:hAnsi="arial"/>
              </w:rPr>
            </w:pPr>
            <w:r>
              <w:rPr>
                <w:rFonts w:ascii="arial" w:hAnsi="arial"/>
              </w:rPr>
              <w:t>multidrug efflux pump</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K18139</w:t>
            </w:r>
          </w:p>
        </w:tc>
        <w:tc>
          <w:tcPr>
            <w:tcW w:w="1166" w:type="dxa"/>
            <w:tcBorders/>
            <w:vAlign w:val="bottom"/>
          </w:tcPr>
          <w:p>
            <w:pPr>
              <w:pStyle w:val="Normal"/>
              <w:tabs>
                <w:tab w:val="clear" w:pos="720"/>
              </w:tabs>
              <w:jc w:val="left"/>
              <w:rPr>
                <w:rFonts w:ascii="arial" w:hAnsi="arial"/>
              </w:rPr>
            </w:pPr>
            <w:r>
              <w:rPr>
                <w:rFonts w:ascii="arial" w:hAnsi="arial"/>
              </w:rPr>
              <w:t>oprM</w:t>
            </w:r>
          </w:p>
        </w:tc>
        <w:tc>
          <w:tcPr>
            <w:tcW w:w="4951" w:type="dxa"/>
            <w:tcBorders/>
            <w:vAlign w:val="bottom"/>
          </w:tcPr>
          <w:p>
            <w:pPr>
              <w:pStyle w:val="Normal"/>
              <w:tabs>
                <w:tab w:val="clear" w:pos="720"/>
              </w:tabs>
              <w:jc w:val="left"/>
              <w:rPr>
                <w:rFonts w:ascii="arial" w:hAnsi="arial"/>
              </w:rPr>
            </w:pPr>
            <w:r>
              <w:rPr>
                <w:rFonts w:ascii="arial" w:hAnsi="arial"/>
              </w:rPr>
              <w:t>multidrug efflux system</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K18142</w:t>
            </w:r>
          </w:p>
        </w:tc>
        <w:tc>
          <w:tcPr>
            <w:tcW w:w="1166" w:type="dxa"/>
            <w:tcBorders/>
            <w:vAlign w:val="bottom"/>
          </w:tcPr>
          <w:p>
            <w:pPr>
              <w:pStyle w:val="Normal"/>
              <w:tabs>
                <w:tab w:val="clear" w:pos="720"/>
              </w:tabs>
              <w:jc w:val="left"/>
              <w:rPr>
                <w:rFonts w:ascii="arial" w:hAnsi="arial"/>
              </w:rPr>
            </w:pPr>
            <w:r>
              <w:rPr>
                <w:rFonts w:ascii="arial" w:hAnsi="arial"/>
              </w:rPr>
              <w:t>acrF</w:t>
            </w:r>
          </w:p>
        </w:tc>
        <w:tc>
          <w:tcPr>
            <w:tcW w:w="4951" w:type="dxa"/>
            <w:tcBorders/>
            <w:vAlign w:val="bottom"/>
          </w:tcPr>
          <w:p>
            <w:pPr>
              <w:pStyle w:val="Normal"/>
              <w:tabs>
                <w:tab w:val="clear" w:pos="720"/>
              </w:tabs>
              <w:jc w:val="left"/>
              <w:rPr>
                <w:rFonts w:ascii="arial" w:hAnsi="arial"/>
              </w:rPr>
            </w:pPr>
            <w:r>
              <w:rPr>
                <w:rFonts w:ascii="arial" w:hAnsi="arial"/>
              </w:rPr>
              <w:t>multidrug efflux pump</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K18145</w:t>
            </w:r>
          </w:p>
        </w:tc>
        <w:tc>
          <w:tcPr>
            <w:tcW w:w="1166" w:type="dxa"/>
            <w:tcBorders/>
            <w:vAlign w:val="bottom"/>
          </w:tcPr>
          <w:p>
            <w:pPr>
              <w:pStyle w:val="Normal"/>
              <w:tabs>
                <w:tab w:val="clear" w:pos="720"/>
              </w:tabs>
              <w:jc w:val="left"/>
              <w:rPr>
                <w:rFonts w:ascii="arial" w:hAnsi="arial"/>
              </w:rPr>
            </w:pPr>
            <w:r>
              <w:rPr>
                <w:rFonts w:ascii="arial" w:hAnsi="arial"/>
              </w:rPr>
              <w:t>adeA</w:t>
            </w:r>
          </w:p>
        </w:tc>
        <w:tc>
          <w:tcPr>
            <w:tcW w:w="4951" w:type="dxa"/>
            <w:tcBorders/>
            <w:vAlign w:val="bottom"/>
          </w:tcPr>
          <w:p>
            <w:pPr>
              <w:pStyle w:val="Normal"/>
              <w:tabs>
                <w:tab w:val="clear" w:pos="720"/>
              </w:tabs>
              <w:jc w:val="left"/>
              <w:rPr>
                <w:rFonts w:ascii="arial" w:hAnsi="arial"/>
              </w:rPr>
            </w:pPr>
            <w:r>
              <w:rPr>
                <w:rFonts w:ascii="arial" w:hAnsi="arial"/>
              </w:rPr>
              <w:t>multidrug efflux system</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K18146</w:t>
            </w:r>
          </w:p>
        </w:tc>
        <w:tc>
          <w:tcPr>
            <w:tcW w:w="1166" w:type="dxa"/>
            <w:tcBorders/>
            <w:vAlign w:val="bottom"/>
          </w:tcPr>
          <w:p>
            <w:pPr>
              <w:pStyle w:val="Normal"/>
              <w:tabs>
                <w:tab w:val="clear" w:pos="720"/>
              </w:tabs>
              <w:jc w:val="left"/>
              <w:rPr>
                <w:rFonts w:ascii="arial" w:hAnsi="arial"/>
              </w:rPr>
            </w:pPr>
            <w:r>
              <w:rPr>
                <w:rFonts w:ascii="arial" w:hAnsi="arial"/>
              </w:rPr>
              <w:t>adeB</w:t>
            </w:r>
          </w:p>
        </w:tc>
        <w:tc>
          <w:tcPr>
            <w:tcW w:w="4951" w:type="dxa"/>
            <w:tcBorders/>
            <w:vAlign w:val="bottom"/>
          </w:tcPr>
          <w:p>
            <w:pPr>
              <w:pStyle w:val="Normal"/>
              <w:tabs>
                <w:tab w:val="clear" w:pos="720"/>
              </w:tabs>
              <w:jc w:val="left"/>
              <w:rPr>
                <w:rFonts w:ascii="arial" w:hAnsi="arial"/>
              </w:rPr>
            </w:pPr>
            <w:r>
              <w:rPr>
                <w:rFonts w:ascii="arial" w:hAnsi="arial"/>
              </w:rPr>
              <w:t>multidrug efflux pump</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K18147</w:t>
            </w:r>
          </w:p>
        </w:tc>
        <w:tc>
          <w:tcPr>
            <w:tcW w:w="1166" w:type="dxa"/>
            <w:tcBorders/>
            <w:vAlign w:val="bottom"/>
          </w:tcPr>
          <w:p>
            <w:pPr>
              <w:pStyle w:val="Normal"/>
              <w:tabs>
                <w:tab w:val="clear" w:pos="720"/>
              </w:tabs>
              <w:jc w:val="left"/>
              <w:rPr>
                <w:rFonts w:ascii="arial" w:hAnsi="arial"/>
              </w:rPr>
            </w:pPr>
            <w:r>
              <w:rPr>
                <w:rFonts w:ascii="arial" w:hAnsi="arial"/>
              </w:rPr>
              <w:t>adeC</w:t>
            </w:r>
          </w:p>
        </w:tc>
        <w:tc>
          <w:tcPr>
            <w:tcW w:w="4951" w:type="dxa"/>
            <w:tcBorders/>
            <w:vAlign w:val="bottom"/>
          </w:tcPr>
          <w:p>
            <w:pPr>
              <w:pStyle w:val="Normal"/>
              <w:tabs>
                <w:tab w:val="clear" w:pos="720"/>
              </w:tabs>
              <w:jc w:val="left"/>
              <w:rPr>
                <w:rFonts w:ascii="arial" w:hAnsi="arial"/>
              </w:rPr>
            </w:pPr>
            <w:r>
              <w:rPr>
                <w:rFonts w:ascii="arial" w:hAnsi="arial"/>
              </w:rPr>
              <w:t>multidrug efflux system</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K18149</w:t>
            </w:r>
          </w:p>
        </w:tc>
        <w:tc>
          <w:tcPr>
            <w:tcW w:w="1166" w:type="dxa"/>
            <w:tcBorders/>
            <w:vAlign w:val="bottom"/>
          </w:tcPr>
          <w:p>
            <w:pPr>
              <w:pStyle w:val="Normal"/>
              <w:tabs>
                <w:tab w:val="clear" w:pos="720"/>
              </w:tabs>
              <w:jc w:val="left"/>
              <w:rPr>
                <w:rFonts w:ascii="arial" w:hAnsi="arial"/>
              </w:rPr>
            </w:pPr>
            <w:r>
              <w:rPr>
                <w:rFonts w:ascii="arial" w:hAnsi="arial"/>
              </w:rPr>
              <w:t>pbp5</w:t>
            </w:r>
          </w:p>
        </w:tc>
        <w:tc>
          <w:tcPr>
            <w:tcW w:w="4951" w:type="dxa"/>
            <w:tcBorders/>
            <w:vAlign w:val="bottom"/>
          </w:tcPr>
          <w:p>
            <w:pPr>
              <w:pStyle w:val="Normal"/>
              <w:tabs>
                <w:tab w:val="clear" w:pos="720"/>
              </w:tabs>
              <w:jc w:val="left"/>
              <w:rPr>
                <w:rFonts w:ascii="arial" w:hAnsi="arial"/>
              </w:rPr>
            </w:pPr>
            <w:r>
              <w:rPr>
                <w:rFonts w:ascii="arial" w:hAnsi="arial"/>
              </w:rPr>
              <w:t>penicillin-binding protein</w:t>
            </w:r>
          </w:p>
        </w:tc>
        <w:tc>
          <w:tcPr>
            <w:tcW w:w="2073" w:type="dxa"/>
            <w:tcBorders/>
            <w:vAlign w:val="bottom"/>
          </w:tcPr>
          <w:p>
            <w:pPr>
              <w:pStyle w:val="Normal"/>
              <w:tabs>
                <w:tab w:val="clear" w:pos="720"/>
              </w:tabs>
              <w:jc w:val="left"/>
              <w:rPr>
                <w:rFonts w:ascii="arial" w:hAnsi="arial"/>
              </w:rPr>
            </w:pPr>
            <w:r>
              <w:rPr>
                <w:rFonts w:ascii="arial" w:hAnsi="arial"/>
              </w:rPr>
              <w:t>Beta lactam</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K18214</w:t>
            </w:r>
          </w:p>
        </w:tc>
        <w:tc>
          <w:tcPr>
            <w:tcW w:w="1166" w:type="dxa"/>
            <w:tcBorders/>
            <w:vAlign w:val="bottom"/>
          </w:tcPr>
          <w:p>
            <w:pPr>
              <w:pStyle w:val="Normal"/>
              <w:tabs>
                <w:tab w:val="clear" w:pos="720"/>
              </w:tabs>
              <w:jc w:val="left"/>
              <w:rPr>
                <w:rFonts w:ascii="arial" w:hAnsi="arial"/>
              </w:rPr>
            </w:pPr>
            <w:r>
              <w:rPr>
                <w:rFonts w:ascii="arial" w:hAnsi="arial"/>
              </w:rPr>
              <w:t>tetP_A</w:t>
            </w:r>
          </w:p>
        </w:tc>
        <w:tc>
          <w:tcPr>
            <w:tcW w:w="4951" w:type="dxa"/>
            <w:tcBorders/>
            <w:vAlign w:val="bottom"/>
          </w:tcPr>
          <w:p>
            <w:pPr>
              <w:pStyle w:val="Normal"/>
              <w:tabs>
                <w:tab w:val="clear" w:pos="720"/>
              </w:tabs>
              <w:jc w:val="left"/>
              <w:rPr>
                <w:rFonts w:ascii="arial" w:hAnsi="arial"/>
              </w:rPr>
            </w:pPr>
            <w:r>
              <w:rPr>
                <w:rFonts w:ascii="arial" w:hAnsi="arial"/>
              </w:rPr>
              <w:t>tetracycline resistant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T</w:t>
            </w:r>
            <w:r>
              <w:rPr>
                <w:rFonts w:ascii="arial" w:hAnsi="arial"/>
              </w:rPr>
              <w:t>etracycline</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K18216</w:t>
            </w:r>
          </w:p>
        </w:tc>
        <w:tc>
          <w:tcPr>
            <w:tcW w:w="1166" w:type="dxa"/>
            <w:tcBorders/>
            <w:vAlign w:val="bottom"/>
          </w:tcPr>
          <w:p>
            <w:pPr>
              <w:pStyle w:val="Normal"/>
              <w:tabs>
                <w:tab w:val="clear" w:pos="720"/>
              </w:tabs>
              <w:jc w:val="left"/>
              <w:rPr>
                <w:rFonts w:ascii="arial" w:hAnsi="arial"/>
              </w:rPr>
            </w:pPr>
            <w:r>
              <w:rPr>
                <w:rFonts w:ascii="arial" w:hAnsi="arial"/>
              </w:rPr>
              <w:t>steA</w:t>
            </w:r>
          </w:p>
        </w:tc>
        <w:tc>
          <w:tcPr>
            <w:tcW w:w="4951" w:type="dxa"/>
            <w:tcBorders/>
            <w:vAlign w:val="bottom"/>
          </w:tcPr>
          <w:p>
            <w:pPr>
              <w:pStyle w:val="Normal"/>
              <w:tabs>
                <w:tab w:val="clear" w:pos="720"/>
              </w:tabs>
              <w:jc w:val="left"/>
              <w:rPr>
                <w:rFonts w:ascii="arial" w:hAnsi="arial"/>
              </w:rPr>
            </w:pPr>
            <w:r>
              <w:rPr>
                <w:rFonts w:ascii="arial" w:hAnsi="arial"/>
              </w:rPr>
              <w:t>tetracycline resistant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T</w:t>
            </w:r>
            <w:r>
              <w:rPr>
                <w:rFonts w:ascii="arial" w:hAnsi="arial"/>
              </w:rPr>
              <w:t>etracycline</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K18217</w:t>
            </w:r>
          </w:p>
        </w:tc>
        <w:tc>
          <w:tcPr>
            <w:tcW w:w="1166" w:type="dxa"/>
            <w:tcBorders/>
            <w:vAlign w:val="bottom"/>
          </w:tcPr>
          <w:p>
            <w:pPr>
              <w:pStyle w:val="Normal"/>
              <w:tabs>
                <w:tab w:val="clear" w:pos="720"/>
              </w:tabs>
              <w:jc w:val="left"/>
              <w:rPr>
                <w:rFonts w:ascii="arial" w:hAnsi="arial"/>
              </w:rPr>
            </w:pPr>
            <w:r>
              <w:rPr>
                <w:rFonts w:ascii="arial" w:hAnsi="arial"/>
              </w:rPr>
              <w:t>steB</w:t>
            </w:r>
          </w:p>
        </w:tc>
        <w:tc>
          <w:tcPr>
            <w:tcW w:w="4951" w:type="dxa"/>
            <w:tcBorders/>
            <w:vAlign w:val="bottom"/>
          </w:tcPr>
          <w:p>
            <w:pPr>
              <w:pStyle w:val="Normal"/>
              <w:tabs>
                <w:tab w:val="clear" w:pos="720"/>
              </w:tabs>
              <w:jc w:val="left"/>
              <w:rPr>
                <w:rFonts w:ascii="arial" w:hAnsi="arial"/>
              </w:rPr>
            </w:pPr>
            <w:r>
              <w:rPr>
                <w:rFonts w:ascii="arial" w:hAnsi="arial"/>
              </w:rPr>
              <w:t>tetracycline resistant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T</w:t>
            </w:r>
            <w:r>
              <w:rPr>
                <w:rFonts w:ascii="arial" w:hAnsi="arial"/>
              </w:rPr>
              <w:t>etracycline</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K18220</w:t>
            </w:r>
          </w:p>
        </w:tc>
        <w:tc>
          <w:tcPr>
            <w:tcW w:w="1166" w:type="dxa"/>
            <w:tcBorders/>
            <w:vAlign w:val="bottom"/>
          </w:tcPr>
          <w:p>
            <w:pPr>
              <w:pStyle w:val="Normal"/>
              <w:tabs>
                <w:tab w:val="clear" w:pos="720"/>
              </w:tabs>
              <w:jc w:val="left"/>
              <w:rPr>
                <w:rFonts w:ascii="arial" w:hAnsi="arial"/>
              </w:rPr>
            </w:pPr>
            <w:r>
              <w:rPr>
                <w:rFonts w:ascii="arial" w:hAnsi="arial"/>
              </w:rPr>
              <w:t>tetM</w:t>
            </w:r>
          </w:p>
        </w:tc>
        <w:tc>
          <w:tcPr>
            <w:tcW w:w="4951" w:type="dxa"/>
            <w:tcBorders/>
            <w:vAlign w:val="bottom"/>
          </w:tcPr>
          <w:p>
            <w:pPr>
              <w:pStyle w:val="Normal"/>
              <w:tabs>
                <w:tab w:val="clear" w:pos="720"/>
              </w:tabs>
              <w:jc w:val="left"/>
              <w:rPr>
                <w:rFonts w:ascii="arial" w:hAnsi="arial"/>
              </w:rPr>
            </w:pPr>
            <w:r>
              <w:rPr>
                <w:rFonts w:ascii="arial" w:hAnsi="arial"/>
              </w:rPr>
              <w:t>ribosomal protection tetracycline resistance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T</w:t>
            </w:r>
            <w:r>
              <w:rPr>
                <w:rFonts w:ascii="arial" w:hAnsi="arial"/>
              </w:rPr>
              <w:t>etracycline</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K18230</w:t>
            </w:r>
          </w:p>
        </w:tc>
        <w:tc>
          <w:tcPr>
            <w:tcW w:w="1166" w:type="dxa"/>
            <w:tcBorders/>
            <w:vAlign w:val="bottom"/>
          </w:tcPr>
          <w:p>
            <w:pPr>
              <w:pStyle w:val="Normal"/>
              <w:tabs>
                <w:tab w:val="clear" w:pos="720"/>
              </w:tabs>
              <w:jc w:val="left"/>
              <w:rPr>
                <w:rFonts w:ascii="arial" w:hAnsi="arial"/>
              </w:rPr>
            </w:pPr>
            <w:r>
              <w:rPr>
                <w:rFonts w:ascii="arial" w:hAnsi="arial"/>
              </w:rPr>
              <w:t>tylC</w:t>
            </w:r>
          </w:p>
        </w:tc>
        <w:tc>
          <w:tcPr>
            <w:tcW w:w="4951" w:type="dxa"/>
            <w:tcBorders/>
            <w:vAlign w:val="bottom"/>
          </w:tcPr>
          <w:p>
            <w:pPr>
              <w:pStyle w:val="Normal"/>
              <w:tabs>
                <w:tab w:val="clear" w:pos="720"/>
              </w:tabs>
              <w:jc w:val="left"/>
              <w:rPr>
                <w:rFonts w:ascii="arial" w:hAnsi="arial"/>
              </w:rPr>
            </w:pPr>
            <w:r>
              <w:rPr>
                <w:rFonts w:ascii="arial" w:hAnsi="arial"/>
              </w:rPr>
              <w:t>macrolide transport system ATP-binding/permease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acrolide</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K18231</w:t>
            </w:r>
          </w:p>
        </w:tc>
        <w:tc>
          <w:tcPr>
            <w:tcW w:w="1166" w:type="dxa"/>
            <w:tcBorders/>
            <w:vAlign w:val="bottom"/>
          </w:tcPr>
          <w:p>
            <w:pPr>
              <w:pStyle w:val="Normal"/>
              <w:tabs>
                <w:tab w:val="clear" w:pos="720"/>
              </w:tabs>
              <w:jc w:val="left"/>
              <w:rPr>
                <w:rFonts w:ascii="arial" w:hAnsi="arial"/>
              </w:rPr>
            </w:pPr>
            <w:r>
              <w:rPr>
                <w:rFonts w:ascii="arial" w:hAnsi="arial"/>
              </w:rPr>
              <w:t>msrA</w:t>
            </w:r>
          </w:p>
        </w:tc>
        <w:tc>
          <w:tcPr>
            <w:tcW w:w="4951" w:type="dxa"/>
            <w:tcBorders/>
            <w:vAlign w:val="bottom"/>
          </w:tcPr>
          <w:p>
            <w:pPr>
              <w:pStyle w:val="Normal"/>
              <w:tabs>
                <w:tab w:val="clear" w:pos="720"/>
              </w:tabs>
              <w:jc w:val="left"/>
              <w:rPr>
                <w:rFonts w:ascii="arial" w:hAnsi="arial"/>
              </w:rPr>
            </w:pPr>
            <w:r>
              <w:rPr>
                <w:rFonts w:ascii="arial" w:hAnsi="arial"/>
              </w:rPr>
              <w:t>macrolide transport system ATP-binding/permease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acrolide</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K18301</w:t>
            </w:r>
          </w:p>
        </w:tc>
        <w:tc>
          <w:tcPr>
            <w:tcW w:w="1166" w:type="dxa"/>
            <w:tcBorders/>
            <w:vAlign w:val="bottom"/>
          </w:tcPr>
          <w:p>
            <w:pPr>
              <w:pStyle w:val="Normal"/>
              <w:tabs>
                <w:tab w:val="clear" w:pos="720"/>
              </w:tabs>
              <w:jc w:val="left"/>
              <w:rPr>
                <w:rFonts w:ascii="arial" w:hAnsi="arial"/>
              </w:rPr>
            </w:pPr>
            <w:r>
              <w:rPr>
                <w:rFonts w:ascii="arial" w:hAnsi="arial"/>
              </w:rPr>
              <w:t>mexL</w:t>
            </w:r>
          </w:p>
        </w:tc>
        <w:tc>
          <w:tcPr>
            <w:tcW w:w="4951" w:type="dxa"/>
            <w:tcBorders/>
            <w:vAlign w:val="bottom"/>
          </w:tcPr>
          <w:p>
            <w:pPr>
              <w:pStyle w:val="Normal"/>
              <w:tabs>
                <w:tab w:val="clear" w:pos="720"/>
              </w:tabs>
              <w:jc w:val="left"/>
              <w:rPr>
                <w:rFonts w:ascii="arial" w:hAnsi="arial"/>
              </w:rPr>
            </w:pPr>
            <w:r>
              <w:rPr>
                <w:rFonts w:ascii="arial" w:hAnsi="arial"/>
              </w:rPr>
              <w:t>transcriptional repressor</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T</w:t>
            </w:r>
            <w:r>
              <w:rPr>
                <w:rFonts w:ascii="arial" w:hAnsi="arial"/>
              </w:rPr>
              <w:t>etracycline</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K18302</w:t>
            </w:r>
          </w:p>
        </w:tc>
        <w:tc>
          <w:tcPr>
            <w:tcW w:w="1166" w:type="dxa"/>
            <w:tcBorders/>
            <w:vAlign w:val="bottom"/>
          </w:tcPr>
          <w:p>
            <w:pPr>
              <w:pStyle w:val="Normal"/>
              <w:tabs>
                <w:tab w:val="clear" w:pos="720"/>
              </w:tabs>
              <w:jc w:val="left"/>
              <w:rPr>
                <w:rFonts w:ascii="arial" w:hAnsi="arial"/>
              </w:rPr>
            </w:pPr>
            <w:r>
              <w:rPr>
                <w:rFonts w:ascii="arial" w:hAnsi="arial"/>
              </w:rPr>
              <w:t>mexJ</w:t>
            </w:r>
          </w:p>
        </w:tc>
        <w:tc>
          <w:tcPr>
            <w:tcW w:w="4951" w:type="dxa"/>
            <w:tcBorders/>
            <w:vAlign w:val="bottom"/>
          </w:tcPr>
          <w:p>
            <w:pPr>
              <w:pStyle w:val="Normal"/>
              <w:tabs>
                <w:tab w:val="clear" w:pos="720"/>
              </w:tabs>
              <w:jc w:val="left"/>
              <w:rPr>
                <w:rFonts w:ascii="arial" w:hAnsi="arial"/>
              </w:rPr>
            </w:pPr>
            <w:r>
              <w:rPr>
                <w:rFonts w:ascii="arial" w:hAnsi="arial"/>
              </w:rPr>
              <w:t>multidrug efflux system</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K18303</w:t>
            </w:r>
          </w:p>
        </w:tc>
        <w:tc>
          <w:tcPr>
            <w:tcW w:w="1166" w:type="dxa"/>
            <w:tcBorders/>
            <w:vAlign w:val="bottom"/>
          </w:tcPr>
          <w:p>
            <w:pPr>
              <w:pStyle w:val="Normal"/>
              <w:tabs>
                <w:tab w:val="clear" w:pos="720"/>
              </w:tabs>
              <w:jc w:val="left"/>
              <w:rPr>
                <w:rFonts w:ascii="arial" w:hAnsi="arial"/>
              </w:rPr>
            </w:pPr>
            <w:r>
              <w:rPr>
                <w:rFonts w:ascii="arial" w:hAnsi="arial"/>
              </w:rPr>
              <w:t>mexK</w:t>
            </w:r>
          </w:p>
        </w:tc>
        <w:tc>
          <w:tcPr>
            <w:tcW w:w="4951" w:type="dxa"/>
            <w:tcBorders/>
            <w:vAlign w:val="bottom"/>
          </w:tcPr>
          <w:p>
            <w:pPr>
              <w:pStyle w:val="Normal"/>
              <w:tabs>
                <w:tab w:val="clear" w:pos="720"/>
              </w:tabs>
              <w:jc w:val="left"/>
              <w:rPr>
                <w:rFonts w:ascii="arial" w:hAnsi="arial"/>
              </w:rPr>
            </w:pPr>
            <w:r>
              <w:rPr>
                <w:rFonts w:ascii="arial" w:hAnsi="arial"/>
              </w:rPr>
              <w:t>multidrug efflux pump</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K18321</w:t>
            </w:r>
          </w:p>
        </w:tc>
        <w:tc>
          <w:tcPr>
            <w:tcW w:w="1166" w:type="dxa"/>
            <w:tcBorders/>
            <w:vAlign w:val="bottom"/>
          </w:tcPr>
          <w:p>
            <w:pPr>
              <w:pStyle w:val="Normal"/>
              <w:tabs>
                <w:tab w:val="clear" w:pos="720"/>
              </w:tabs>
              <w:jc w:val="left"/>
              <w:rPr>
                <w:rFonts w:ascii="arial" w:hAnsi="arial"/>
              </w:rPr>
            </w:pPr>
            <w:r>
              <w:rPr>
                <w:rFonts w:ascii="arial" w:hAnsi="arial"/>
              </w:rPr>
              <w:t>smeA</w:t>
            </w:r>
          </w:p>
        </w:tc>
        <w:tc>
          <w:tcPr>
            <w:tcW w:w="4951" w:type="dxa"/>
            <w:tcBorders/>
            <w:vAlign w:val="bottom"/>
          </w:tcPr>
          <w:p>
            <w:pPr>
              <w:pStyle w:val="Normal"/>
              <w:tabs>
                <w:tab w:val="clear" w:pos="720"/>
              </w:tabs>
              <w:jc w:val="left"/>
              <w:rPr>
                <w:rFonts w:ascii="arial" w:hAnsi="arial"/>
              </w:rPr>
            </w:pPr>
            <w:r>
              <w:rPr>
                <w:rFonts w:ascii="arial" w:hAnsi="arial"/>
              </w:rPr>
              <w:t>multidrug efflux system</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K18322</w:t>
            </w:r>
          </w:p>
        </w:tc>
        <w:tc>
          <w:tcPr>
            <w:tcW w:w="1166" w:type="dxa"/>
            <w:tcBorders/>
            <w:vAlign w:val="bottom"/>
          </w:tcPr>
          <w:p>
            <w:pPr>
              <w:pStyle w:val="Normal"/>
              <w:tabs>
                <w:tab w:val="clear" w:pos="720"/>
              </w:tabs>
              <w:jc w:val="left"/>
              <w:rPr>
                <w:rFonts w:ascii="arial" w:hAnsi="arial"/>
              </w:rPr>
            </w:pPr>
            <w:r>
              <w:rPr>
                <w:rFonts w:ascii="arial" w:hAnsi="arial"/>
              </w:rPr>
              <w:t>smeB</w:t>
            </w:r>
          </w:p>
        </w:tc>
        <w:tc>
          <w:tcPr>
            <w:tcW w:w="4951" w:type="dxa"/>
            <w:tcBorders/>
            <w:vAlign w:val="bottom"/>
          </w:tcPr>
          <w:p>
            <w:pPr>
              <w:pStyle w:val="Normal"/>
              <w:tabs>
                <w:tab w:val="clear" w:pos="720"/>
              </w:tabs>
              <w:jc w:val="left"/>
              <w:rPr>
                <w:rFonts w:ascii="arial" w:hAnsi="arial"/>
              </w:rPr>
            </w:pPr>
            <w:r>
              <w:rPr>
                <w:rFonts w:ascii="arial" w:hAnsi="arial"/>
              </w:rPr>
              <w:t>multidrug efflux pump</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K18323</w:t>
            </w:r>
          </w:p>
        </w:tc>
        <w:tc>
          <w:tcPr>
            <w:tcW w:w="1166" w:type="dxa"/>
            <w:tcBorders/>
            <w:vAlign w:val="bottom"/>
          </w:tcPr>
          <w:p>
            <w:pPr>
              <w:pStyle w:val="Normal"/>
              <w:tabs>
                <w:tab w:val="clear" w:pos="720"/>
              </w:tabs>
              <w:jc w:val="left"/>
              <w:rPr>
                <w:rFonts w:ascii="arial" w:hAnsi="arial"/>
              </w:rPr>
            </w:pPr>
            <w:r>
              <w:rPr>
                <w:rFonts w:ascii="arial" w:hAnsi="arial"/>
              </w:rPr>
              <w:t>smeC</w:t>
            </w:r>
          </w:p>
        </w:tc>
        <w:tc>
          <w:tcPr>
            <w:tcW w:w="4951" w:type="dxa"/>
            <w:tcBorders/>
            <w:vAlign w:val="bottom"/>
          </w:tcPr>
          <w:p>
            <w:pPr>
              <w:pStyle w:val="Normal"/>
              <w:tabs>
                <w:tab w:val="clear" w:pos="720"/>
              </w:tabs>
              <w:jc w:val="left"/>
              <w:rPr>
                <w:rFonts w:ascii="arial" w:hAnsi="arial"/>
              </w:rPr>
            </w:pPr>
            <w:r>
              <w:rPr>
                <w:rFonts w:ascii="arial" w:hAnsi="arial"/>
              </w:rPr>
              <w:t>multidrug efflux system</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K18324</w:t>
            </w:r>
          </w:p>
        </w:tc>
        <w:tc>
          <w:tcPr>
            <w:tcW w:w="1166" w:type="dxa"/>
            <w:tcBorders/>
            <w:vAlign w:val="bottom"/>
          </w:tcPr>
          <w:p>
            <w:pPr>
              <w:pStyle w:val="Normal"/>
              <w:tabs>
                <w:tab w:val="clear" w:pos="720"/>
              </w:tabs>
              <w:jc w:val="left"/>
              <w:rPr>
                <w:rFonts w:ascii="arial" w:hAnsi="arial"/>
              </w:rPr>
            </w:pPr>
            <w:r>
              <w:rPr>
                <w:rFonts w:ascii="arial" w:hAnsi="arial"/>
              </w:rPr>
              <w:t>acrD</w:t>
            </w:r>
          </w:p>
        </w:tc>
        <w:tc>
          <w:tcPr>
            <w:tcW w:w="4951" w:type="dxa"/>
            <w:tcBorders/>
            <w:vAlign w:val="bottom"/>
          </w:tcPr>
          <w:p>
            <w:pPr>
              <w:pStyle w:val="Normal"/>
              <w:tabs>
                <w:tab w:val="clear" w:pos="720"/>
              </w:tabs>
              <w:jc w:val="left"/>
              <w:rPr>
                <w:rFonts w:ascii="arial" w:hAnsi="arial"/>
              </w:rPr>
            </w:pPr>
            <w:r>
              <w:rPr>
                <w:rFonts w:ascii="arial" w:hAnsi="arial"/>
              </w:rPr>
              <w:t>multidrug efflux pump</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K18325</w:t>
            </w:r>
          </w:p>
        </w:tc>
        <w:tc>
          <w:tcPr>
            <w:tcW w:w="1166" w:type="dxa"/>
            <w:tcBorders/>
            <w:vAlign w:val="bottom"/>
          </w:tcPr>
          <w:p>
            <w:pPr>
              <w:pStyle w:val="Normal"/>
              <w:tabs>
                <w:tab w:val="clear" w:pos="720"/>
              </w:tabs>
              <w:jc w:val="left"/>
              <w:rPr>
                <w:rFonts w:ascii="arial" w:hAnsi="arial"/>
              </w:rPr>
            </w:pPr>
            <w:r>
              <w:rPr>
                <w:rFonts w:ascii="arial" w:hAnsi="arial"/>
              </w:rPr>
              <w:t>ramA</w:t>
            </w:r>
          </w:p>
        </w:tc>
        <w:tc>
          <w:tcPr>
            <w:tcW w:w="4951" w:type="dxa"/>
            <w:tcBorders/>
            <w:vAlign w:val="bottom"/>
          </w:tcPr>
          <w:p>
            <w:pPr>
              <w:pStyle w:val="Normal"/>
              <w:tabs>
                <w:tab w:val="clear" w:pos="720"/>
              </w:tabs>
              <w:jc w:val="left"/>
              <w:rPr>
                <w:rFonts w:ascii="arial" w:hAnsi="arial"/>
              </w:rPr>
            </w:pPr>
            <w:r>
              <w:rPr>
                <w:rFonts w:ascii="arial" w:hAnsi="arial"/>
              </w:rPr>
              <w:t>multidrug resistance transcriptional activator</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K18326</w:t>
            </w:r>
          </w:p>
        </w:tc>
        <w:tc>
          <w:tcPr>
            <w:tcW w:w="1166" w:type="dxa"/>
            <w:tcBorders/>
            <w:vAlign w:val="bottom"/>
          </w:tcPr>
          <w:p>
            <w:pPr>
              <w:pStyle w:val="Normal"/>
              <w:tabs>
                <w:tab w:val="clear" w:pos="720"/>
              </w:tabs>
              <w:jc w:val="left"/>
              <w:rPr>
                <w:rFonts w:ascii="arial" w:hAnsi="arial"/>
              </w:rPr>
            </w:pPr>
            <w:r>
              <w:rPr>
                <w:rFonts w:ascii="arial" w:hAnsi="arial"/>
              </w:rPr>
              <w:t>mdtD</w:t>
            </w:r>
          </w:p>
        </w:tc>
        <w:tc>
          <w:tcPr>
            <w:tcW w:w="4951" w:type="dxa"/>
            <w:tcBorders/>
            <w:vAlign w:val="bottom"/>
          </w:tcPr>
          <w:p>
            <w:pPr>
              <w:pStyle w:val="Normal"/>
              <w:tabs>
                <w:tab w:val="clear" w:pos="720"/>
              </w:tabs>
              <w:jc w:val="left"/>
              <w:rPr>
                <w:rFonts w:ascii="arial" w:hAnsi="arial"/>
              </w:rPr>
            </w:pPr>
            <w:r>
              <w:rPr>
                <w:rFonts w:ascii="arial" w:hAnsi="arial"/>
              </w:rPr>
              <w:t>multidrug resistance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K18887</w:t>
            </w:r>
          </w:p>
        </w:tc>
        <w:tc>
          <w:tcPr>
            <w:tcW w:w="1166" w:type="dxa"/>
            <w:tcBorders/>
            <w:vAlign w:val="bottom"/>
          </w:tcPr>
          <w:p>
            <w:pPr>
              <w:pStyle w:val="Normal"/>
              <w:tabs>
                <w:tab w:val="clear" w:pos="720"/>
              </w:tabs>
              <w:jc w:val="left"/>
              <w:rPr>
                <w:rFonts w:ascii="arial" w:hAnsi="arial"/>
              </w:rPr>
            </w:pPr>
            <w:r>
              <w:rPr>
                <w:rFonts w:ascii="arial" w:hAnsi="arial"/>
              </w:rPr>
              <w:t>efrA</w:t>
            </w:r>
          </w:p>
        </w:tc>
        <w:tc>
          <w:tcPr>
            <w:tcW w:w="4951" w:type="dxa"/>
            <w:tcBorders/>
            <w:vAlign w:val="bottom"/>
          </w:tcPr>
          <w:p>
            <w:pPr>
              <w:pStyle w:val="Normal"/>
              <w:tabs>
                <w:tab w:val="clear" w:pos="720"/>
              </w:tabs>
              <w:jc w:val="left"/>
              <w:rPr>
                <w:rFonts w:ascii="arial" w:hAnsi="arial"/>
              </w:rPr>
            </w:pPr>
            <w:r>
              <w:rPr>
                <w:rFonts w:ascii="arial" w:hAnsi="arial"/>
              </w:rPr>
              <w:t>multidrug efflux pump</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K18888</w:t>
            </w:r>
          </w:p>
        </w:tc>
        <w:tc>
          <w:tcPr>
            <w:tcW w:w="1166" w:type="dxa"/>
            <w:tcBorders/>
            <w:vAlign w:val="bottom"/>
          </w:tcPr>
          <w:p>
            <w:pPr>
              <w:pStyle w:val="Normal"/>
              <w:tabs>
                <w:tab w:val="clear" w:pos="720"/>
              </w:tabs>
              <w:jc w:val="left"/>
              <w:rPr>
                <w:rFonts w:ascii="arial" w:hAnsi="arial"/>
              </w:rPr>
            </w:pPr>
            <w:r>
              <w:rPr>
                <w:rFonts w:ascii="arial" w:hAnsi="arial"/>
              </w:rPr>
              <w:t>efrB</w:t>
            </w:r>
          </w:p>
        </w:tc>
        <w:tc>
          <w:tcPr>
            <w:tcW w:w="4951" w:type="dxa"/>
            <w:tcBorders/>
            <w:vAlign w:val="bottom"/>
          </w:tcPr>
          <w:p>
            <w:pPr>
              <w:pStyle w:val="Normal"/>
              <w:tabs>
                <w:tab w:val="clear" w:pos="720"/>
              </w:tabs>
              <w:jc w:val="left"/>
              <w:rPr>
                <w:rFonts w:ascii="arial" w:hAnsi="arial"/>
              </w:rPr>
            </w:pPr>
            <w:r>
              <w:rPr>
                <w:rFonts w:ascii="arial" w:hAnsi="arial"/>
              </w:rPr>
              <w:t>multidrug efflux pump</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K18889</w:t>
            </w:r>
          </w:p>
        </w:tc>
        <w:tc>
          <w:tcPr>
            <w:tcW w:w="1166" w:type="dxa"/>
            <w:tcBorders/>
            <w:vAlign w:val="bottom"/>
          </w:tcPr>
          <w:p>
            <w:pPr>
              <w:pStyle w:val="Normal"/>
              <w:tabs>
                <w:tab w:val="clear" w:pos="720"/>
              </w:tabs>
              <w:jc w:val="left"/>
              <w:rPr>
                <w:rFonts w:ascii="arial" w:hAnsi="arial"/>
              </w:rPr>
            </w:pPr>
            <w:r>
              <w:rPr>
                <w:rFonts w:ascii="arial" w:hAnsi="arial"/>
              </w:rPr>
              <w:t>mdlA</w:t>
            </w:r>
          </w:p>
        </w:tc>
        <w:tc>
          <w:tcPr>
            <w:tcW w:w="4951" w:type="dxa"/>
            <w:tcBorders/>
            <w:vAlign w:val="bottom"/>
          </w:tcPr>
          <w:p>
            <w:pPr>
              <w:pStyle w:val="Normal"/>
              <w:tabs>
                <w:tab w:val="clear" w:pos="720"/>
              </w:tabs>
              <w:jc w:val="left"/>
              <w:rPr>
                <w:rFonts w:ascii="arial" w:hAnsi="arial"/>
              </w:rPr>
            </w:pPr>
            <w:r>
              <w:rPr>
                <w:rFonts w:ascii="arial" w:hAnsi="arial"/>
              </w:rPr>
              <w:t>multidrug efflux pump</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K18890</w:t>
            </w:r>
          </w:p>
        </w:tc>
        <w:tc>
          <w:tcPr>
            <w:tcW w:w="1166" w:type="dxa"/>
            <w:tcBorders/>
            <w:vAlign w:val="bottom"/>
          </w:tcPr>
          <w:p>
            <w:pPr>
              <w:pStyle w:val="Normal"/>
              <w:tabs>
                <w:tab w:val="clear" w:pos="720"/>
              </w:tabs>
              <w:jc w:val="left"/>
              <w:rPr>
                <w:rFonts w:ascii="arial" w:hAnsi="arial"/>
              </w:rPr>
            </w:pPr>
            <w:r>
              <w:rPr>
                <w:rFonts w:ascii="arial" w:hAnsi="arial"/>
              </w:rPr>
              <w:t>mdlB</w:t>
            </w:r>
          </w:p>
        </w:tc>
        <w:tc>
          <w:tcPr>
            <w:tcW w:w="4951" w:type="dxa"/>
            <w:tcBorders/>
            <w:vAlign w:val="bottom"/>
          </w:tcPr>
          <w:p>
            <w:pPr>
              <w:pStyle w:val="Normal"/>
              <w:tabs>
                <w:tab w:val="clear" w:pos="720"/>
              </w:tabs>
              <w:jc w:val="left"/>
              <w:rPr>
                <w:rFonts w:ascii="arial" w:hAnsi="arial"/>
              </w:rPr>
            </w:pPr>
            <w:r>
              <w:rPr>
                <w:rFonts w:ascii="arial" w:hAnsi="arial"/>
              </w:rPr>
              <w:t>multidrug efflux pump</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K18891</w:t>
            </w:r>
          </w:p>
        </w:tc>
        <w:tc>
          <w:tcPr>
            <w:tcW w:w="1166" w:type="dxa"/>
            <w:tcBorders/>
            <w:vAlign w:val="bottom"/>
          </w:tcPr>
          <w:p>
            <w:pPr>
              <w:pStyle w:val="Normal"/>
              <w:tabs>
                <w:tab w:val="clear" w:pos="720"/>
              </w:tabs>
              <w:jc w:val="left"/>
              <w:rPr>
                <w:rFonts w:ascii="arial" w:hAnsi="arial"/>
              </w:rPr>
            </w:pPr>
            <w:r>
              <w:rPr>
                <w:rFonts w:ascii="arial" w:hAnsi="arial"/>
              </w:rPr>
              <w:t>patA</w:t>
            </w:r>
          </w:p>
        </w:tc>
        <w:tc>
          <w:tcPr>
            <w:tcW w:w="4951" w:type="dxa"/>
            <w:tcBorders/>
            <w:vAlign w:val="bottom"/>
          </w:tcPr>
          <w:p>
            <w:pPr>
              <w:pStyle w:val="Normal"/>
              <w:tabs>
                <w:tab w:val="clear" w:pos="720"/>
              </w:tabs>
              <w:jc w:val="left"/>
              <w:rPr>
                <w:rFonts w:ascii="arial" w:hAnsi="arial"/>
              </w:rPr>
            </w:pPr>
            <w:r>
              <w:rPr>
                <w:rFonts w:ascii="arial" w:hAnsi="arial"/>
              </w:rPr>
              <w:t>multidrug efflux pump</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K18892</w:t>
            </w:r>
          </w:p>
        </w:tc>
        <w:tc>
          <w:tcPr>
            <w:tcW w:w="1166" w:type="dxa"/>
            <w:tcBorders/>
            <w:vAlign w:val="bottom"/>
          </w:tcPr>
          <w:p>
            <w:pPr>
              <w:pStyle w:val="Normal"/>
              <w:tabs>
                <w:tab w:val="clear" w:pos="720"/>
              </w:tabs>
              <w:jc w:val="left"/>
              <w:rPr>
                <w:rFonts w:ascii="arial" w:hAnsi="arial"/>
              </w:rPr>
            </w:pPr>
            <w:r>
              <w:rPr>
                <w:rFonts w:ascii="arial" w:hAnsi="arial"/>
              </w:rPr>
              <w:t>patB</w:t>
            </w:r>
          </w:p>
        </w:tc>
        <w:tc>
          <w:tcPr>
            <w:tcW w:w="4951" w:type="dxa"/>
            <w:tcBorders/>
            <w:vAlign w:val="bottom"/>
          </w:tcPr>
          <w:p>
            <w:pPr>
              <w:pStyle w:val="Normal"/>
              <w:tabs>
                <w:tab w:val="clear" w:pos="720"/>
              </w:tabs>
              <w:jc w:val="left"/>
              <w:rPr>
                <w:rFonts w:ascii="arial" w:hAnsi="arial"/>
              </w:rPr>
            </w:pPr>
            <w:r>
              <w:rPr>
                <w:rFonts w:ascii="arial" w:hAnsi="arial"/>
              </w:rPr>
              <w:t>multidrug efflux pump</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K18893</w:t>
            </w:r>
          </w:p>
        </w:tc>
        <w:tc>
          <w:tcPr>
            <w:tcW w:w="1166" w:type="dxa"/>
            <w:tcBorders/>
            <w:vAlign w:val="bottom"/>
          </w:tcPr>
          <w:p>
            <w:pPr>
              <w:pStyle w:val="Normal"/>
              <w:tabs>
                <w:tab w:val="clear" w:pos="720"/>
              </w:tabs>
              <w:jc w:val="left"/>
              <w:rPr>
                <w:rFonts w:ascii="arial" w:hAnsi="arial"/>
              </w:rPr>
            </w:pPr>
            <w:r>
              <w:rPr>
                <w:rFonts w:ascii="arial" w:hAnsi="arial"/>
              </w:rPr>
              <w:t>vcaM</w:t>
            </w:r>
          </w:p>
        </w:tc>
        <w:tc>
          <w:tcPr>
            <w:tcW w:w="4951" w:type="dxa"/>
            <w:tcBorders/>
            <w:vAlign w:val="bottom"/>
          </w:tcPr>
          <w:p>
            <w:pPr>
              <w:pStyle w:val="Normal"/>
              <w:tabs>
                <w:tab w:val="clear" w:pos="720"/>
              </w:tabs>
              <w:jc w:val="left"/>
              <w:rPr>
                <w:rFonts w:ascii="arial" w:hAnsi="arial"/>
              </w:rPr>
            </w:pPr>
            <w:r>
              <w:rPr>
                <w:rFonts w:ascii="arial" w:hAnsi="arial"/>
              </w:rPr>
              <w:t>multidrug efflux pump</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K18898</w:t>
            </w:r>
          </w:p>
        </w:tc>
        <w:tc>
          <w:tcPr>
            <w:tcW w:w="1166" w:type="dxa"/>
            <w:tcBorders/>
            <w:vAlign w:val="bottom"/>
          </w:tcPr>
          <w:p>
            <w:pPr>
              <w:pStyle w:val="Normal"/>
              <w:tabs>
                <w:tab w:val="clear" w:pos="720"/>
              </w:tabs>
              <w:jc w:val="left"/>
              <w:rPr>
                <w:rFonts w:ascii="arial" w:hAnsi="arial"/>
              </w:rPr>
            </w:pPr>
            <w:r>
              <w:rPr>
                <w:rFonts w:ascii="arial" w:hAnsi="arial"/>
              </w:rPr>
              <w:t>mdtE</w:t>
            </w:r>
          </w:p>
        </w:tc>
        <w:tc>
          <w:tcPr>
            <w:tcW w:w="4951" w:type="dxa"/>
            <w:tcBorders/>
            <w:vAlign w:val="bottom"/>
          </w:tcPr>
          <w:p>
            <w:pPr>
              <w:pStyle w:val="Normal"/>
              <w:tabs>
                <w:tab w:val="clear" w:pos="720"/>
              </w:tabs>
              <w:jc w:val="left"/>
              <w:rPr>
                <w:rFonts w:ascii="arial" w:hAnsi="arial"/>
              </w:rPr>
            </w:pPr>
            <w:r>
              <w:rPr>
                <w:rFonts w:ascii="arial" w:hAnsi="arial"/>
              </w:rPr>
              <w:t>multidrug efflux system</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K18899</w:t>
            </w:r>
          </w:p>
        </w:tc>
        <w:tc>
          <w:tcPr>
            <w:tcW w:w="1166" w:type="dxa"/>
            <w:tcBorders/>
            <w:vAlign w:val="bottom"/>
          </w:tcPr>
          <w:p>
            <w:pPr>
              <w:pStyle w:val="Normal"/>
              <w:tabs>
                <w:tab w:val="clear" w:pos="720"/>
              </w:tabs>
              <w:jc w:val="left"/>
              <w:rPr>
                <w:rFonts w:ascii="arial" w:hAnsi="arial"/>
              </w:rPr>
            </w:pPr>
            <w:r>
              <w:rPr>
                <w:rFonts w:ascii="arial" w:hAnsi="arial"/>
              </w:rPr>
              <w:t>mdtF</w:t>
            </w:r>
          </w:p>
        </w:tc>
        <w:tc>
          <w:tcPr>
            <w:tcW w:w="4951" w:type="dxa"/>
            <w:tcBorders/>
            <w:vAlign w:val="bottom"/>
          </w:tcPr>
          <w:p>
            <w:pPr>
              <w:pStyle w:val="Normal"/>
              <w:tabs>
                <w:tab w:val="clear" w:pos="720"/>
              </w:tabs>
              <w:jc w:val="left"/>
              <w:rPr>
                <w:rFonts w:ascii="arial" w:hAnsi="arial"/>
              </w:rPr>
            </w:pPr>
            <w:r>
              <w:rPr>
                <w:rFonts w:ascii="arial" w:hAnsi="arial"/>
              </w:rPr>
              <w:t>multidrug efflux pump</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K18903</w:t>
            </w:r>
          </w:p>
        </w:tc>
        <w:tc>
          <w:tcPr>
            <w:tcW w:w="1166" w:type="dxa"/>
            <w:tcBorders/>
            <w:vAlign w:val="bottom"/>
          </w:tcPr>
          <w:p>
            <w:pPr>
              <w:pStyle w:val="Normal"/>
              <w:tabs>
                <w:tab w:val="clear" w:pos="720"/>
              </w:tabs>
              <w:jc w:val="left"/>
              <w:rPr>
                <w:rFonts w:ascii="arial" w:hAnsi="arial"/>
              </w:rPr>
            </w:pPr>
            <w:r>
              <w:rPr>
                <w:rFonts w:ascii="arial" w:hAnsi="arial"/>
              </w:rPr>
              <w:t>oprC</w:t>
            </w:r>
          </w:p>
        </w:tc>
        <w:tc>
          <w:tcPr>
            <w:tcW w:w="4951" w:type="dxa"/>
            <w:tcBorders/>
            <w:vAlign w:val="bottom"/>
          </w:tcPr>
          <w:p>
            <w:pPr>
              <w:pStyle w:val="Normal"/>
              <w:tabs>
                <w:tab w:val="clear" w:pos="720"/>
              </w:tabs>
              <w:jc w:val="left"/>
              <w:rPr>
                <w:rFonts w:ascii="arial" w:hAnsi="arial"/>
              </w:rPr>
            </w:pPr>
            <w:r>
              <w:rPr>
                <w:rFonts w:ascii="arial" w:hAnsi="arial"/>
              </w:rPr>
              <w:t>multidrug efflux system</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K18904</w:t>
            </w:r>
          </w:p>
        </w:tc>
        <w:tc>
          <w:tcPr>
            <w:tcW w:w="1166" w:type="dxa"/>
            <w:tcBorders/>
            <w:vAlign w:val="bottom"/>
          </w:tcPr>
          <w:p>
            <w:pPr>
              <w:pStyle w:val="Normal"/>
              <w:tabs>
                <w:tab w:val="clear" w:pos="720"/>
              </w:tabs>
              <w:jc w:val="left"/>
              <w:rPr>
                <w:rFonts w:ascii="arial" w:hAnsi="arial"/>
              </w:rPr>
            </w:pPr>
            <w:r>
              <w:rPr>
                <w:rFonts w:ascii="arial" w:hAnsi="arial"/>
              </w:rPr>
              <w:t>nodT</w:t>
            </w:r>
          </w:p>
        </w:tc>
        <w:tc>
          <w:tcPr>
            <w:tcW w:w="4951" w:type="dxa"/>
            <w:tcBorders/>
            <w:vAlign w:val="bottom"/>
          </w:tcPr>
          <w:p>
            <w:pPr>
              <w:pStyle w:val="Normal"/>
              <w:tabs>
                <w:tab w:val="clear" w:pos="720"/>
              </w:tabs>
              <w:jc w:val="left"/>
              <w:rPr>
                <w:rFonts w:ascii="arial" w:hAnsi="arial"/>
              </w:rPr>
            </w:pPr>
            <w:r>
              <w:rPr>
                <w:rFonts w:ascii="arial" w:hAnsi="arial"/>
              </w:rPr>
              <w:t>multidrug efflux system</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K18924</w:t>
            </w:r>
          </w:p>
        </w:tc>
        <w:tc>
          <w:tcPr>
            <w:tcW w:w="1166" w:type="dxa"/>
            <w:tcBorders/>
            <w:vAlign w:val="bottom"/>
          </w:tcPr>
          <w:p>
            <w:pPr>
              <w:pStyle w:val="Normal"/>
              <w:tabs>
                <w:tab w:val="clear" w:pos="720"/>
              </w:tabs>
              <w:jc w:val="left"/>
              <w:rPr>
                <w:rFonts w:ascii="arial" w:hAnsi="arial"/>
              </w:rPr>
            </w:pPr>
            <w:r>
              <w:rPr>
                <w:rFonts w:ascii="arial" w:hAnsi="arial"/>
              </w:rPr>
              <w:t>ykkC</w:t>
            </w:r>
          </w:p>
        </w:tc>
        <w:tc>
          <w:tcPr>
            <w:tcW w:w="4951" w:type="dxa"/>
            <w:tcBorders/>
            <w:vAlign w:val="bottom"/>
          </w:tcPr>
          <w:p>
            <w:pPr>
              <w:pStyle w:val="Normal"/>
              <w:tabs>
                <w:tab w:val="clear" w:pos="720"/>
              </w:tabs>
              <w:jc w:val="left"/>
              <w:rPr>
                <w:rFonts w:ascii="arial" w:hAnsi="arial"/>
              </w:rPr>
            </w:pPr>
            <w:r>
              <w:rPr>
                <w:rFonts w:ascii="arial" w:hAnsi="arial"/>
              </w:rPr>
              <w:t>paired small multidrug resistance pump</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K18925</w:t>
            </w:r>
          </w:p>
        </w:tc>
        <w:tc>
          <w:tcPr>
            <w:tcW w:w="1166" w:type="dxa"/>
            <w:tcBorders/>
            <w:vAlign w:val="bottom"/>
          </w:tcPr>
          <w:p>
            <w:pPr>
              <w:pStyle w:val="Normal"/>
              <w:tabs>
                <w:tab w:val="clear" w:pos="720"/>
              </w:tabs>
              <w:jc w:val="left"/>
              <w:rPr>
                <w:rFonts w:ascii="arial" w:hAnsi="arial"/>
              </w:rPr>
            </w:pPr>
            <w:r>
              <w:rPr>
                <w:rFonts w:ascii="arial" w:hAnsi="arial"/>
              </w:rPr>
              <w:t>ykkD</w:t>
            </w:r>
          </w:p>
        </w:tc>
        <w:tc>
          <w:tcPr>
            <w:tcW w:w="4951" w:type="dxa"/>
            <w:tcBorders/>
            <w:vAlign w:val="bottom"/>
          </w:tcPr>
          <w:p>
            <w:pPr>
              <w:pStyle w:val="Normal"/>
              <w:tabs>
                <w:tab w:val="clear" w:pos="720"/>
              </w:tabs>
              <w:jc w:val="left"/>
              <w:rPr>
                <w:rFonts w:ascii="arial" w:hAnsi="arial"/>
              </w:rPr>
            </w:pPr>
            <w:r>
              <w:rPr>
                <w:rFonts w:ascii="arial" w:hAnsi="arial"/>
              </w:rPr>
              <w:t>paired small multidrug resistance pump</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K18934</w:t>
            </w:r>
          </w:p>
        </w:tc>
        <w:tc>
          <w:tcPr>
            <w:tcW w:w="1166" w:type="dxa"/>
            <w:tcBorders/>
            <w:vAlign w:val="bottom"/>
          </w:tcPr>
          <w:p>
            <w:pPr>
              <w:pStyle w:val="Normal"/>
              <w:tabs>
                <w:tab w:val="clear" w:pos="720"/>
              </w:tabs>
              <w:jc w:val="left"/>
              <w:rPr>
                <w:rFonts w:ascii="arial" w:hAnsi="arial"/>
              </w:rPr>
            </w:pPr>
            <w:r>
              <w:rPr>
                <w:rFonts w:ascii="arial" w:hAnsi="arial"/>
              </w:rPr>
              <w:t>lmrS</w:t>
            </w:r>
          </w:p>
        </w:tc>
        <w:tc>
          <w:tcPr>
            <w:tcW w:w="4951" w:type="dxa"/>
            <w:tcBorders/>
            <w:vAlign w:val="bottom"/>
          </w:tcPr>
          <w:p>
            <w:pPr>
              <w:pStyle w:val="Normal"/>
              <w:tabs>
                <w:tab w:val="clear" w:pos="720"/>
              </w:tabs>
              <w:jc w:val="left"/>
              <w:rPr>
                <w:rFonts w:ascii="arial" w:hAnsi="arial"/>
              </w:rPr>
            </w:pPr>
            <w:r>
              <w:rPr>
                <w:rFonts w:ascii="arial" w:hAnsi="arial"/>
              </w:rPr>
              <w:t>multidrug resistance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K18935</w:t>
            </w:r>
          </w:p>
        </w:tc>
        <w:tc>
          <w:tcPr>
            <w:tcW w:w="1166" w:type="dxa"/>
            <w:tcBorders/>
            <w:vAlign w:val="bottom"/>
          </w:tcPr>
          <w:p>
            <w:pPr>
              <w:pStyle w:val="Normal"/>
              <w:tabs>
                <w:tab w:val="clear" w:pos="720"/>
              </w:tabs>
              <w:jc w:val="left"/>
              <w:rPr>
                <w:rFonts w:ascii="arial" w:hAnsi="arial"/>
              </w:rPr>
            </w:pPr>
            <w:r>
              <w:rPr>
                <w:rFonts w:ascii="arial" w:hAnsi="arial"/>
              </w:rPr>
              <w:t>sdrM</w:t>
            </w:r>
          </w:p>
        </w:tc>
        <w:tc>
          <w:tcPr>
            <w:tcW w:w="4951" w:type="dxa"/>
            <w:tcBorders/>
            <w:vAlign w:val="bottom"/>
          </w:tcPr>
          <w:p>
            <w:pPr>
              <w:pStyle w:val="Normal"/>
              <w:tabs>
                <w:tab w:val="clear" w:pos="720"/>
              </w:tabs>
              <w:jc w:val="left"/>
              <w:rPr>
                <w:rFonts w:ascii="arial" w:hAnsi="arial"/>
              </w:rPr>
            </w:pPr>
            <w:r>
              <w:rPr>
                <w:rFonts w:ascii="arial" w:hAnsi="arial"/>
              </w:rPr>
              <w:t>multidrug resistance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K18936</w:t>
            </w:r>
          </w:p>
        </w:tc>
        <w:tc>
          <w:tcPr>
            <w:tcW w:w="1166" w:type="dxa"/>
            <w:tcBorders/>
            <w:vAlign w:val="bottom"/>
          </w:tcPr>
          <w:p>
            <w:pPr>
              <w:pStyle w:val="Normal"/>
              <w:tabs>
                <w:tab w:val="clear" w:pos="720"/>
              </w:tabs>
              <w:jc w:val="left"/>
              <w:rPr>
                <w:rFonts w:ascii="arial" w:hAnsi="arial"/>
              </w:rPr>
            </w:pPr>
            <w:r>
              <w:rPr>
                <w:rFonts w:ascii="arial" w:hAnsi="arial"/>
              </w:rPr>
              <w:t>mdeA</w:t>
            </w:r>
          </w:p>
        </w:tc>
        <w:tc>
          <w:tcPr>
            <w:tcW w:w="4951" w:type="dxa"/>
            <w:tcBorders/>
            <w:vAlign w:val="bottom"/>
          </w:tcPr>
          <w:p>
            <w:pPr>
              <w:pStyle w:val="Normal"/>
              <w:tabs>
                <w:tab w:val="clear" w:pos="720"/>
              </w:tabs>
              <w:jc w:val="left"/>
              <w:rPr>
                <w:rFonts w:ascii="arial" w:hAnsi="arial"/>
              </w:rPr>
            </w:pPr>
            <w:r>
              <w:rPr>
                <w:rFonts w:ascii="arial" w:hAnsi="arial"/>
              </w:rPr>
              <w:t>multidrug resistance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K18975</w:t>
            </w:r>
          </w:p>
        </w:tc>
        <w:tc>
          <w:tcPr>
            <w:tcW w:w="1166" w:type="dxa"/>
            <w:tcBorders/>
            <w:vAlign w:val="bottom"/>
          </w:tcPr>
          <w:p>
            <w:pPr>
              <w:pStyle w:val="Normal"/>
              <w:tabs>
                <w:tab w:val="clear" w:pos="720"/>
              </w:tabs>
              <w:jc w:val="left"/>
              <w:rPr>
                <w:rFonts w:ascii="arial" w:hAnsi="arial"/>
              </w:rPr>
            </w:pPr>
            <w:r>
              <w:rPr>
                <w:rFonts w:ascii="arial" w:hAnsi="arial"/>
              </w:rPr>
              <w:t>qacE</w:t>
            </w:r>
            <w:r>
              <w:rPr>
                <w:rFonts w:eastAsia="Noto Serif CJK SC" w:cs="Lohit Devanagari" w:ascii="DejaVu Sans" w:hAnsi="DejaVu Sans"/>
              </w:rPr>
              <w:t>Δ</w:t>
            </w:r>
            <w:r>
              <w:rPr>
                <w:rFonts w:ascii="arial" w:hAnsi="arial"/>
              </w:rPr>
              <w:t>1</w:t>
            </w:r>
          </w:p>
        </w:tc>
        <w:tc>
          <w:tcPr>
            <w:tcW w:w="4951" w:type="dxa"/>
            <w:tcBorders/>
            <w:vAlign w:val="bottom"/>
          </w:tcPr>
          <w:p>
            <w:pPr>
              <w:pStyle w:val="Normal"/>
              <w:tabs>
                <w:tab w:val="clear" w:pos="720"/>
              </w:tabs>
              <w:jc w:val="left"/>
              <w:rPr>
                <w:rFonts w:ascii="arial" w:hAnsi="arial"/>
              </w:rPr>
            </w:pPr>
            <w:r>
              <w:rPr>
                <w:rFonts w:ascii="arial" w:hAnsi="arial"/>
              </w:rPr>
              <w:t>small multidrug resistance pump</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K18989</w:t>
            </w:r>
          </w:p>
        </w:tc>
        <w:tc>
          <w:tcPr>
            <w:tcW w:w="1166" w:type="dxa"/>
            <w:tcBorders/>
            <w:vAlign w:val="bottom"/>
          </w:tcPr>
          <w:p>
            <w:pPr>
              <w:pStyle w:val="Normal"/>
              <w:tabs>
                <w:tab w:val="clear" w:pos="720"/>
              </w:tabs>
              <w:jc w:val="left"/>
              <w:rPr>
                <w:rFonts w:ascii="arial" w:hAnsi="arial"/>
              </w:rPr>
            </w:pPr>
            <w:r>
              <w:rPr>
                <w:rFonts w:ascii="arial" w:hAnsi="arial"/>
              </w:rPr>
              <w:t>vexF</w:t>
            </w:r>
          </w:p>
        </w:tc>
        <w:tc>
          <w:tcPr>
            <w:tcW w:w="4951" w:type="dxa"/>
            <w:tcBorders/>
            <w:vAlign w:val="bottom"/>
          </w:tcPr>
          <w:p>
            <w:pPr>
              <w:pStyle w:val="Normal"/>
              <w:tabs>
                <w:tab w:val="clear" w:pos="720"/>
              </w:tabs>
              <w:jc w:val="left"/>
              <w:rPr>
                <w:rFonts w:ascii="arial" w:hAnsi="arial"/>
              </w:rPr>
            </w:pPr>
            <w:r>
              <w:rPr>
                <w:rFonts w:ascii="arial" w:hAnsi="arial"/>
              </w:rPr>
              <w:t>multidrug efflux pump</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K18990</w:t>
            </w:r>
          </w:p>
        </w:tc>
        <w:tc>
          <w:tcPr>
            <w:tcW w:w="1166" w:type="dxa"/>
            <w:tcBorders/>
            <w:vAlign w:val="bottom"/>
          </w:tcPr>
          <w:p>
            <w:pPr>
              <w:pStyle w:val="Normal"/>
              <w:tabs>
                <w:tab w:val="clear" w:pos="720"/>
              </w:tabs>
              <w:jc w:val="left"/>
              <w:rPr>
                <w:rFonts w:ascii="arial" w:hAnsi="arial"/>
              </w:rPr>
            </w:pPr>
            <w:r>
              <w:rPr>
                <w:rFonts w:ascii="arial" w:hAnsi="arial"/>
              </w:rPr>
              <w:t>vexE</w:t>
            </w:r>
          </w:p>
        </w:tc>
        <w:tc>
          <w:tcPr>
            <w:tcW w:w="4951" w:type="dxa"/>
            <w:tcBorders/>
            <w:vAlign w:val="bottom"/>
          </w:tcPr>
          <w:p>
            <w:pPr>
              <w:pStyle w:val="Normal"/>
              <w:tabs>
                <w:tab w:val="clear" w:pos="720"/>
              </w:tabs>
              <w:jc w:val="left"/>
              <w:rPr>
                <w:rFonts w:ascii="arial" w:hAnsi="arial"/>
              </w:rPr>
            </w:pPr>
            <w:r>
              <w:rPr>
                <w:rFonts w:ascii="arial" w:hAnsi="arial"/>
              </w:rPr>
              <w:t>multidrug efflux system</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Q</w:t>
            </w:r>
            <w:r>
              <w:rPr>
                <w:rFonts w:ascii="arial" w:hAnsi="arial"/>
              </w:rPr>
              <w:t>uinolone</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K19576</w:t>
            </w:r>
          </w:p>
        </w:tc>
        <w:tc>
          <w:tcPr>
            <w:tcW w:w="1166" w:type="dxa"/>
            <w:tcBorders/>
            <w:vAlign w:val="bottom"/>
          </w:tcPr>
          <w:p>
            <w:pPr>
              <w:pStyle w:val="Normal"/>
              <w:tabs>
                <w:tab w:val="clear" w:pos="720"/>
              </w:tabs>
              <w:jc w:val="left"/>
              <w:rPr>
                <w:rFonts w:ascii="arial" w:hAnsi="arial"/>
              </w:rPr>
            </w:pPr>
            <w:r>
              <w:rPr>
                <w:rFonts w:ascii="arial" w:hAnsi="arial"/>
              </w:rPr>
              <w:t>norA</w:t>
            </w:r>
          </w:p>
        </w:tc>
        <w:tc>
          <w:tcPr>
            <w:tcW w:w="4951" w:type="dxa"/>
            <w:tcBorders/>
            <w:vAlign w:val="bottom"/>
          </w:tcPr>
          <w:p>
            <w:pPr>
              <w:pStyle w:val="Normal"/>
              <w:tabs>
                <w:tab w:val="clear" w:pos="720"/>
              </w:tabs>
              <w:jc w:val="left"/>
              <w:rPr>
                <w:rFonts w:ascii="arial" w:hAnsi="arial"/>
              </w:rPr>
            </w:pPr>
            <w:r>
              <w:rPr>
                <w:rFonts w:ascii="arial" w:hAnsi="arial"/>
              </w:rPr>
              <w:t>quinolone resistance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K19585</w:t>
            </w:r>
          </w:p>
        </w:tc>
        <w:tc>
          <w:tcPr>
            <w:tcW w:w="1166" w:type="dxa"/>
            <w:tcBorders/>
            <w:vAlign w:val="bottom"/>
          </w:tcPr>
          <w:p>
            <w:pPr>
              <w:pStyle w:val="Normal"/>
              <w:tabs>
                <w:tab w:val="clear" w:pos="720"/>
              </w:tabs>
              <w:jc w:val="left"/>
              <w:rPr>
                <w:rFonts w:ascii="arial" w:hAnsi="arial"/>
              </w:rPr>
            </w:pPr>
            <w:r>
              <w:rPr>
                <w:rFonts w:ascii="arial" w:hAnsi="arial"/>
              </w:rPr>
              <w:t>oqxB</w:t>
            </w:r>
          </w:p>
        </w:tc>
        <w:tc>
          <w:tcPr>
            <w:tcW w:w="4951" w:type="dxa"/>
            <w:tcBorders/>
            <w:vAlign w:val="bottom"/>
          </w:tcPr>
          <w:p>
            <w:pPr>
              <w:pStyle w:val="Normal"/>
              <w:tabs>
                <w:tab w:val="clear" w:pos="720"/>
              </w:tabs>
              <w:jc w:val="left"/>
              <w:rPr>
                <w:rFonts w:ascii="arial" w:hAnsi="arial"/>
              </w:rPr>
            </w:pPr>
            <w:r>
              <w:rPr>
                <w:rFonts w:ascii="arial" w:hAnsi="arial"/>
              </w:rPr>
              <w:t>multidrug efflux pump</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K19586</w:t>
            </w:r>
          </w:p>
        </w:tc>
        <w:tc>
          <w:tcPr>
            <w:tcW w:w="1166" w:type="dxa"/>
            <w:tcBorders/>
            <w:vAlign w:val="bottom"/>
          </w:tcPr>
          <w:p>
            <w:pPr>
              <w:pStyle w:val="Normal"/>
              <w:tabs>
                <w:tab w:val="clear" w:pos="720"/>
              </w:tabs>
              <w:jc w:val="left"/>
              <w:rPr>
                <w:rFonts w:ascii="arial" w:hAnsi="arial"/>
              </w:rPr>
            </w:pPr>
            <w:r>
              <w:rPr>
                <w:rFonts w:ascii="arial" w:hAnsi="arial"/>
              </w:rPr>
              <w:t>oqxA</w:t>
            </w:r>
          </w:p>
        </w:tc>
        <w:tc>
          <w:tcPr>
            <w:tcW w:w="4951" w:type="dxa"/>
            <w:tcBorders/>
            <w:vAlign w:val="bottom"/>
          </w:tcPr>
          <w:p>
            <w:pPr>
              <w:pStyle w:val="Normal"/>
              <w:tabs>
                <w:tab w:val="clear" w:pos="720"/>
              </w:tabs>
              <w:jc w:val="left"/>
              <w:rPr>
                <w:rFonts w:ascii="arial" w:hAnsi="arial"/>
              </w:rPr>
            </w:pPr>
            <w:r>
              <w:rPr>
                <w:rFonts w:ascii="arial" w:hAnsi="arial"/>
              </w:rPr>
              <w:t>multidrug efflux system</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M</w:t>
            </w:r>
            <w:r>
              <w:rPr>
                <w:rFonts w:ascii="arial" w:hAnsi="arial"/>
              </w:rPr>
              <w:t>ultidrug</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K17836</w:t>
            </w:r>
          </w:p>
        </w:tc>
        <w:tc>
          <w:tcPr>
            <w:tcW w:w="1166" w:type="dxa"/>
            <w:tcBorders/>
            <w:vAlign w:val="bottom"/>
          </w:tcPr>
          <w:p>
            <w:pPr>
              <w:pStyle w:val="Normal"/>
              <w:tabs>
                <w:tab w:val="clear" w:pos="720"/>
              </w:tabs>
              <w:jc w:val="left"/>
              <w:rPr>
                <w:rFonts w:ascii="arial" w:hAnsi="arial"/>
              </w:rPr>
            </w:pPr>
            <w:r>
              <w:rPr>
                <w:rFonts w:ascii="arial" w:hAnsi="arial"/>
              </w:rPr>
              <w:t>penP</w:t>
            </w:r>
          </w:p>
        </w:tc>
        <w:tc>
          <w:tcPr>
            <w:tcW w:w="4951" w:type="dxa"/>
            <w:tcBorders/>
            <w:vAlign w:val="bottom"/>
          </w:tcPr>
          <w:p>
            <w:pPr>
              <w:pStyle w:val="Normal"/>
              <w:tabs>
                <w:tab w:val="clear" w:pos="720"/>
              </w:tabs>
              <w:jc w:val="left"/>
              <w:rPr>
                <w:rFonts w:ascii="arial" w:hAnsi="arial"/>
              </w:rPr>
            </w:pPr>
            <w:r>
              <w:rPr>
                <w:rFonts w:ascii="arial" w:hAnsi="arial"/>
              </w:rPr>
              <w:t>beta-lactamase class A</w:t>
            </w:r>
          </w:p>
        </w:tc>
        <w:tc>
          <w:tcPr>
            <w:tcW w:w="2073" w:type="dxa"/>
            <w:tcBorders/>
            <w:vAlign w:val="bottom"/>
          </w:tcPr>
          <w:p>
            <w:pPr>
              <w:pStyle w:val="Normal"/>
              <w:tabs>
                <w:tab w:val="clear" w:pos="720"/>
              </w:tabs>
              <w:jc w:val="left"/>
              <w:rPr>
                <w:rFonts w:ascii="arial" w:hAnsi="arial"/>
              </w:rPr>
            </w:pPr>
            <w:r>
              <w:rPr>
                <w:rFonts w:ascii="arial" w:hAnsi="arial"/>
              </w:rPr>
              <w:t>Beta lactam</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K17881</w:t>
            </w:r>
          </w:p>
        </w:tc>
        <w:tc>
          <w:tcPr>
            <w:tcW w:w="1166" w:type="dxa"/>
            <w:tcBorders/>
            <w:vAlign w:val="bottom"/>
          </w:tcPr>
          <w:p>
            <w:pPr>
              <w:pStyle w:val="Normal"/>
              <w:tabs>
                <w:tab w:val="clear" w:pos="720"/>
              </w:tabs>
              <w:jc w:val="left"/>
              <w:rPr>
                <w:rFonts w:ascii="arial" w:hAnsi="arial"/>
              </w:rPr>
            </w:pPr>
            <w:r>
              <w:rPr>
                <w:rFonts w:ascii="arial" w:hAnsi="arial"/>
              </w:rPr>
              <w:t>aadB</w:t>
            </w:r>
          </w:p>
        </w:tc>
        <w:tc>
          <w:tcPr>
            <w:tcW w:w="4951" w:type="dxa"/>
            <w:tcBorders/>
            <w:vAlign w:val="bottom"/>
          </w:tcPr>
          <w:p>
            <w:pPr>
              <w:pStyle w:val="Normal"/>
              <w:tabs>
                <w:tab w:val="clear" w:pos="720"/>
              </w:tabs>
              <w:jc w:val="left"/>
              <w:rPr>
                <w:rFonts w:ascii="arial" w:hAnsi="arial"/>
              </w:rPr>
            </w:pPr>
            <w:r>
              <w:rPr>
                <w:rFonts w:ascii="arial" w:hAnsi="arial"/>
              </w:rPr>
              <w:t>Aminoglycoside 2-adenylyltransferase</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A</w:t>
            </w:r>
            <w:r>
              <w:rPr>
                <w:rFonts w:ascii="arial" w:hAnsi="arial"/>
              </w:rPr>
              <w:t>minoglycoside</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K00984</w:t>
            </w:r>
          </w:p>
        </w:tc>
        <w:tc>
          <w:tcPr>
            <w:tcW w:w="1166" w:type="dxa"/>
            <w:tcBorders/>
            <w:vAlign w:val="bottom"/>
          </w:tcPr>
          <w:p>
            <w:pPr>
              <w:pStyle w:val="Normal"/>
              <w:tabs>
                <w:tab w:val="clear" w:pos="720"/>
              </w:tabs>
              <w:jc w:val="left"/>
              <w:rPr>
                <w:rFonts w:ascii="arial" w:hAnsi="arial"/>
              </w:rPr>
            </w:pPr>
            <w:r>
              <w:rPr>
                <w:rFonts w:ascii="arial" w:hAnsi="arial"/>
              </w:rPr>
              <w:t>aadA</w:t>
            </w:r>
          </w:p>
        </w:tc>
        <w:tc>
          <w:tcPr>
            <w:tcW w:w="4951" w:type="dxa"/>
            <w:tcBorders/>
            <w:vAlign w:val="bottom"/>
          </w:tcPr>
          <w:p>
            <w:pPr>
              <w:pStyle w:val="Normal"/>
              <w:tabs>
                <w:tab w:val="clear" w:pos="720"/>
              </w:tabs>
              <w:jc w:val="left"/>
              <w:rPr>
                <w:rFonts w:ascii="arial" w:hAnsi="arial"/>
              </w:rPr>
            </w:pPr>
            <w:r>
              <w:rPr>
                <w:rFonts w:ascii="arial" w:hAnsi="arial"/>
              </w:rPr>
              <w:t>aminoglycoside nucleotidyltransferase</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A</w:t>
            </w:r>
            <w:r>
              <w:rPr>
                <w:rFonts w:ascii="arial" w:hAnsi="arial"/>
              </w:rPr>
              <w:t>minoglycoside</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K19271</w:t>
            </w:r>
          </w:p>
        </w:tc>
        <w:tc>
          <w:tcPr>
            <w:tcW w:w="1166" w:type="dxa"/>
            <w:tcBorders/>
            <w:vAlign w:val="bottom"/>
          </w:tcPr>
          <w:p>
            <w:pPr>
              <w:pStyle w:val="Normal"/>
              <w:tabs>
                <w:tab w:val="clear" w:pos="720"/>
              </w:tabs>
              <w:jc w:val="left"/>
              <w:rPr>
                <w:rFonts w:ascii="arial" w:hAnsi="arial"/>
              </w:rPr>
            </w:pPr>
            <w:r>
              <w:rPr>
                <w:rFonts w:ascii="arial" w:hAnsi="arial"/>
              </w:rPr>
              <w:t>catA</w:t>
            </w:r>
          </w:p>
        </w:tc>
        <w:tc>
          <w:tcPr>
            <w:tcW w:w="4951" w:type="dxa"/>
            <w:tcBorders/>
            <w:vAlign w:val="bottom"/>
          </w:tcPr>
          <w:p>
            <w:pPr>
              <w:pStyle w:val="Normal"/>
              <w:tabs>
                <w:tab w:val="clear" w:pos="720"/>
              </w:tabs>
              <w:jc w:val="left"/>
              <w:rPr>
                <w:rFonts w:ascii="arial" w:hAnsi="arial"/>
              </w:rPr>
            </w:pPr>
            <w:r>
              <w:rPr>
                <w:rFonts w:ascii="arial" w:hAnsi="arial"/>
              </w:rPr>
              <w:t>chloramphenicol O-acetyltransferase type A</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P</w:t>
            </w:r>
            <w:r>
              <w:rPr>
                <w:rFonts w:ascii="arial" w:hAnsi="arial"/>
              </w:rPr>
              <w:t>henicol</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K19272</w:t>
            </w:r>
          </w:p>
        </w:tc>
        <w:tc>
          <w:tcPr>
            <w:tcW w:w="1166" w:type="dxa"/>
            <w:tcBorders/>
            <w:vAlign w:val="bottom"/>
          </w:tcPr>
          <w:p>
            <w:pPr>
              <w:pStyle w:val="Normal"/>
              <w:tabs>
                <w:tab w:val="clear" w:pos="720"/>
              </w:tabs>
              <w:jc w:val="left"/>
              <w:rPr>
                <w:rFonts w:ascii="arial" w:hAnsi="arial"/>
              </w:rPr>
            </w:pPr>
            <w:r>
              <w:rPr>
                <w:rFonts w:ascii="arial" w:hAnsi="arial"/>
              </w:rPr>
              <w:t>aph3-I</w:t>
            </w:r>
          </w:p>
        </w:tc>
        <w:tc>
          <w:tcPr>
            <w:tcW w:w="4951" w:type="dxa"/>
            <w:tcBorders/>
            <w:vAlign w:val="bottom"/>
          </w:tcPr>
          <w:p>
            <w:pPr>
              <w:pStyle w:val="Normal"/>
              <w:tabs>
                <w:tab w:val="clear" w:pos="720"/>
              </w:tabs>
              <w:jc w:val="left"/>
              <w:rPr>
                <w:rFonts w:ascii="arial" w:hAnsi="arial"/>
              </w:rPr>
            </w:pPr>
            <w:r>
              <w:rPr>
                <w:rFonts w:ascii="arial" w:hAnsi="arial"/>
              </w:rPr>
              <w:t>aminoglycoside 3'-phosphotransferase I</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A</w:t>
            </w:r>
            <w:r>
              <w:rPr>
                <w:rFonts w:ascii="arial" w:hAnsi="arial"/>
              </w:rPr>
              <w:t>minoglycoside</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K19273</w:t>
            </w:r>
          </w:p>
        </w:tc>
        <w:tc>
          <w:tcPr>
            <w:tcW w:w="1166" w:type="dxa"/>
            <w:tcBorders/>
            <w:vAlign w:val="bottom"/>
          </w:tcPr>
          <w:p>
            <w:pPr>
              <w:pStyle w:val="Normal"/>
              <w:tabs>
                <w:tab w:val="clear" w:pos="720"/>
              </w:tabs>
              <w:jc w:val="left"/>
              <w:rPr>
                <w:rFonts w:ascii="arial" w:hAnsi="arial"/>
              </w:rPr>
            </w:pPr>
            <w:r>
              <w:rPr>
                <w:rFonts w:ascii="arial" w:hAnsi="arial"/>
              </w:rPr>
              <w:t>sat4</w:t>
            </w:r>
          </w:p>
        </w:tc>
        <w:tc>
          <w:tcPr>
            <w:tcW w:w="4951" w:type="dxa"/>
            <w:tcBorders/>
            <w:vAlign w:val="bottom"/>
          </w:tcPr>
          <w:p>
            <w:pPr>
              <w:pStyle w:val="Normal"/>
              <w:tabs>
                <w:tab w:val="clear" w:pos="720"/>
              </w:tabs>
              <w:jc w:val="left"/>
              <w:rPr>
                <w:rFonts w:ascii="arial" w:hAnsi="arial"/>
              </w:rPr>
            </w:pPr>
            <w:r>
              <w:rPr>
                <w:rFonts w:ascii="arial" w:hAnsi="arial"/>
              </w:rPr>
              <w:t>streptothricin acetyltransferase</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A</w:t>
            </w:r>
            <w:r>
              <w:rPr>
                <w:rFonts w:ascii="arial" w:hAnsi="arial"/>
              </w:rPr>
              <w:t>minoglycoside</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K19274</w:t>
            </w:r>
          </w:p>
        </w:tc>
        <w:tc>
          <w:tcPr>
            <w:tcW w:w="1166" w:type="dxa"/>
            <w:tcBorders/>
            <w:vAlign w:val="bottom"/>
          </w:tcPr>
          <w:p>
            <w:pPr>
              <w:pStyle w:val="Normal"/>
              <w:tabs>
                <w:tab w:val="clear" w:pos="720"/>
              </w:tabs>
              <w:jc w:val="left"/>
              <w:rPr>
                <w:rFonts w:ascii="arial" w:hAnsi="arial"/>
              </w:rPr>
            </w:pPr>
            <w:r>
              <w:rPr>
                <w:rFonts w:ascii="arial" w:hAnsi="arial"/>
              </w:rPr>
              <w:t>aph3-VI</w:t>
            </w:r>
          </w:p>
        </w:tc>
        <w:tc>
          <w:tcPr>
            <w:tcW w:w="4951" w:type="dxa"/>
            <w:tcBorders/>
            <w:vAlign w:val="bottom"/>
          </w:tcPr>
          <w:p>
            <w:pPr>
              <w:pStyle w:val="Normal"/>
              <w:tabs>
                <w:tab w:val="clear" w:pos="720"/>
              </w:tabs>
              <w:jc w:val="left"/>
              <w:rPr>
                <w:rFonts w:ascii="arial" w:hAnsi="arial"/>
              </w:rPr>
            </w:pPr>
            <w:r>
              <w:rPr>
                <w:rFonts w:ascii="arial" w:hAnsi="arial"/>
              </w:rPr>
              <w:t>Aminoglycoside 3-phosphotransferase VI</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A</w:t>
            </w:r>
            <w:r>
              <w:rPr>
                <w:rFonts w:ascii="arial" w:hAnsi="arial"/>
              </w:rPr>
              <w:t>minoglycoside</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K19299</w:t>
            </w:r>
          </w:p>
        </w:tc>
        <w:tc>
          <w:tcPr>
            <w:tcW w:w="1166" w:type="dxa"/>
            <w:tcBorders/>
            <w:vAlign w:val="bottom"/>
          </w:tcPr>
          <w:p>
            <w:pPr>
              <w:pStyle w:val="Normal"/>
              <w:tabs>
                <w:tab w:val="clear" w:pos="720"/>
              </w:tabs>
              <w:jc w:val="left"/>
              <w:rPr>
                <w:rFonts w:ascii="arial" w:hAnsi="arial"/>
              </w:rPr>
            </w:pPr>
            <w:r>
              <w:rPr>
                <w:rFonts w:ascii="arial" w:hAnsi="arial"/>
              </w:rPr>
              <w:t>aph3-III</w:t>
            </w:r>
          </w:p>
        </w:tc>
        <w:tc>
          <w:tcPr>
            <w:tcW w:w="4951" w:type="dxa"/>
            <w:tcBorders/>
            <w:vAlign w:val="bottom"/>
          </w:tcPr>
          <w:p>
            <w:pPr>
              <w:pStyle w:val="Normal"/>
              <w:tabs>
                <w:tab w:val="clear" w:pos="720"/>
              </w:tabs>
              <w:jc w:val="left"/>
              <w:rPr>
                <w:rFonts w:ascii="arial" w:hAnsi="arial"/>
              </w:rPr>
            </w:pPr>
            <w:r>
              <w:rPr>
                <w:rFonts w:ascii="arial" w:hAnsi="arial"/>
              </w:rPr>
              <w:t>Aminoglycoside 3-phosphotransferase III</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A</w:t>
            </w:r>
            <w:r>
              <w:rPr>
                <w:rFonts w:ascii="arial" w:hAnsi="arial"/>
              </w:rPr>
              <w:t>minoglycoside</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K19300</w:t>
            </w:r>
          </w:p>
        </w:tc>
        <w:tc>
          <w:tcPr>
            <w:tcW w:w="1166" w:type="dxa"/>
            <w:tcBorders/>
            <w:vAlign w:val="bottom"/>
          </w:tcPr>
          <w:p>
            <w:pPr>
              <w:pStyle w:val="Normal"/>
              <w:tabs>
                <w:tab w:val="clear" w:pos="720"/>
              </w:tabs>
              <w:jc w:val="left"/>
              <w:rPr>
                <w:rFonts w:ascii="arial" w:hAnsi="arial"/>
              </w:rPr>
            </w:pPr>
            <w:r>
              <w:rPr>
                <w:rFonts w:ascii="arial" w:hAnsi="arial"/>
              </w:rPr>
              <w:t>aph3-II</w:t>
            </w:r>
          </w:p>
        </w:tc>
        <w:tc>
          <w:tcPr>
            <w:tcW w:w="4951" w:type="dxa"/>
            <w:tcBorders/>
            <w:vAlign w:val="bottom"/>
          </w:tcPr>
          <w:p>
            <w:pPr>
              <w:pStyle w:val="Normal"/>
              <w:tabs>
                <w:tab w:val="clear" w:pos="720"/>
              </w:tabs>
              <w:jc w:val="left"/>
              <w:rPr>
                <w:rFonts w:ascii="arial" w:hAnsi="arial"/>
              </w:rPr>
            </w:pPr>
            <w:r>
              <w:rPr>
                <w:rFonts w:ascii="arial" w:hAnsi="arial"/>
              </w:rPr>
              <w:t>Aminoglycoside 3-phosphotransferase II</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A</w:t>
            </w:r>
            <w:r>
              <w:rPr>
                <w:rFonts w:ascii="arial" w:hAnsi="arial"/>
              </w:rPr>
              <w:t>minoglycoside</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K10673</w:t>
            </w:r>
          </w:p>
        </w:tc>
        <w:tc>
          <w:tcPr>
            <w:tcW w:w="1166" w:type="dxa"/>
            <w:tcBorders/>
            <w:vAlign w:val="bottom"/>
          </w:tcPr>
          <w:p>
            <w:pPr>
              <w:pStyle w:val="Normal"/>
              <w:tabs>
                <w:tab w:val="clear" w:pos="720"/>
              </w:tabs>
              <w:jc w:val="left"/>
              <w:rPr>
                <w:rFonts w:ascii="arial" w:hAnsi="arial"/>
              </w:rPr>
            </w:pPr>
            <w:r>
              <w:rPr>
                <w:rFonts w:ascii="arial" w:hAnsi="arial"/>
              </w:rPr>
              <w:t>strA</w:t>
            </w:r>
          </w:p>
        </w:tc>
        <w:tc>
          <w:tcPr>
            <w:tcW w:w="4951" w:type="dxa"/>
            <w:tcBorders/>
            <w:vAlign w:val="bottom"/>
          </w:tcPr>
          <w:p>
            <w:pPr>
              <w:pStyle w:val="Normal"/>
              <w:tabs>
                <w:tab w:val="clear" w:pos="720"/>
              </w:tabs>
              <w:jc w:val="left"/>
              <w:rPr>
                <w:rFonts w:ascii="arial" w:hAnsi="arial"/>
              </w:rPr>
            </w:pPr>
            <w:r>
              <w:rPr>
                <w:rFonts w:ascii="arial" w:hAnsi="arial"/>
              </w:rPr>
              <w:t>Streptomycin 3-kinase</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A</w:t>
            </w:r>
            <w:r>
              <w:rPr>
                <w:rFonts w:ascii="arial" w:hAnsi="arial"/>
              </w:rPr>
              <w:t>minoglycoside</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K01467</w:t>
            </w:r>
          </w:p>
        </w:tc>
        <w:tc>
          <w:tcPr>
            <w:tcW w:w="1166" w:type="dxa"/>
            <w:tcBorders/>
            <w:vAlign w:val="bottom"/>
          </w:tcPr>
          <w:p>
            <w:pPr>
              <w:pStyle w:val="Normal"/>
              <w:tabs>
                <w:tab w:val="clear" w:pos="720"/>
              </w:tabs>
              <w:jc w:val="left"/>
              <w:rPr>
                <w:rFonts w:ascii="arial" w:hAnsi="arial"/>
              </w:rPr>
            </w:pPr>
            <w:r>
              <w:rPr>
                <w:rFonts w:ascii="arial" w:hAnsi="arial"/>
              </w:rPr>
              <w:t>ampC</w:t>
            </w:r>
          </w:p>
        </w:tc>
        <w:tc>
          <w:tcPr>
            <w:tcW w:w="4951" w:type="dxa"/>
            <w:tcBorders/>
            <w:vAlign w:val="bottom"/>
          </w:tcPr>
          <w:p>
            <w:pPr>
              <w:pStyle w:val="Normal"/>
              <w:tabs>
                <w:tab w:val="clear" w:pos="720"/>
              </w:tabs>
              <w:jc w:val="left"/>
              <w:rPr>
                <w:rFonts w:ascii="arial" w:hAnsi="arial"/>
              </w:rPr>
            </w:pPr>
            <w:r>
              <w:rPr>
                <w:rFonts w:ascii="arial" w:hAnsi="arial"/>
              </w:rPr>
              <w:t>beta-lactamase class C</w:t>
            </w:r>
          </w:p>
        </w:tc>
        <w:tc>
          <w:tcPr>
            <w:tcW w:w="2073" w:type="dxa"/>
            <w:tcBorders/>
            <w:vAlign w:val="bottom"/>
          </w:tcPr>
          <w:p>
            <w:pPr>
              <w:pStyle w:val="Normal"/>
              <w:tabs>
                <w:tab w:val="clear" w:pos="720"/>
              </w:tabs>
              <w:jc w:val="left"/>
              <w:rPr>
                <w:rFonts w:ascii="arial" w:hAnsi="arial"/>
              </w:rPr>
            </w:pPr>
            <w:r>
              <w:rPr>
                <w:rFonts w:ascii="arial" w:hAnsi="arial"/>
              </w:rPr>
              <w:t>Beta lactam</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K02171</w:t>
            </w:r>
          </w:p>
        </w:tc>
        <w:tc>
          <w:tcPr>
            <w:tcW w:w="1166" w:type="dxa"/>
            <w:tcBorders/>
            <w:vAlign w:val="bottom"/>
          </w:tcPr>
          <w:p>
            <w:pPr>
              <w:pStyle w:val="Normal"/>
              <w:tabs>
                <w:tab w:val="clear" w:pos="720"/>
              </w:tabs>
              <w:jc w:val="left"/>
              <w:rPr>
                <w:rFonts w:ascii="arial" w:hAnsi="arial"/>
              </w:rPr>
            </w:pPr>
            <w:r>
              <w:rPr>
                <w:rFonts w:ascii="arial" w:hAnsi="arial"/>
              </w:rPr>
              <w:t>blaI</w:t>
            </w:r>
          </w:p>
        </w:tc>
        <w:tc>
          <w:tcPr>
            <w:tcW w:w="4951" w:type="dxa"/>
            <w:tcBorders/>
            <w:vAlign w:val="bottom"/>
          </w:tcPr>
          <w:p>
            <w:pPr>
              <w:pStyle w:val="Normal"/>
              <w:tabs>
                <w:tab w:val="clear" w:pos="720"/>
              </w:tabs>
              <w:jc w:val="left"/>
              <w:rPr>
                <w:rFonts w:ascii="arial" w:hAnsi="arial"/>
              </w:rPr>
            </w:pPr>
            <w:r>
              <w:rPr>
                <w:rFonts w:ascii="arial" w:hAnsi="arial"/>
              </w:rPr>
              <w:t>repressor of transcription of the blaZ/blaR1/blaI operon</w:t>
            </w:r>
          </w:p>
        </w:tc>
        <w:tc>
          <w:tcPr>
            <w:tcW w:w="2073" w:type="dxa"/>
            <w:tcBorders/>
            <w:vAlign w:val="bottom"/>
          </w:tcPr>
          <w:p>
            <w:pPr>
              <w:pStyle w:val="Normal"/>
              <w:tabs>
                <w:tab w:val="clear" w:pos="720"/>
              </w:tabs>
              <w:jc w:val="left"/>
              <w:rPr>
                <w:rFonts w:ascii="arial" w:hAnsi="arial"/>
              </w:rPr>
            </w:pPr>
            <w:r>
              <w:rPr>
                <w:rFonts w:ascii="arial" w:hAnsi="arial"/>
              </w:rPr>
              <w:t>Beta lactam</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K02172</w:t>
            </w:r>
          </w:p>
        </w:tc>
        <w:tc>
          <w:tcPr>
            <w:tcW w:w="1166" w:type="dxa"/>
            <w:tcBorders/>
            <w:vAlign w:val="bottom"/>
          </w:tcPr>
          <w:p>
            <w:pPr>
              <w:pStyle w:val="Normal"/>
              <w:tabs>
                <w:tab w:val="clear" w:pos="720"/>
              </w:tabs>
              <w:jc w:val="left"/>
              <w:rPr>
                <w:rFonts w:ascii="arial" w:hAnsi="arial"/>
              </w:rPr>
            </w:pPr>
            <w:r>
              <w:rPr>
                <w:rFonts w:ascii="arial" w:hAnsi="arial"/>
              </w:rPr>
              <w:t>blaR1</w:t>
            </w:r>
          </w:p>
        </w:tc>
        <w:tc>
          <w:tcPr>
            <w:tcW w:w="4951" w:type="dxa"/>
            <w:tcBorders/>
            <w:vAlign w:val="bottom"/>
          </w:tcPr>
          <w:p>
            <w:pPr>
              <w:pStyle w:val="Normal"/>
              <w:tabs>
                <w:tab w:val="clear" w:pos="720"/>
              </w:tabs>
              <w:jc w:val="left"/>
              <w:rPr>
                <w:rFonts w:ascii="arial" w:hAnsi="arial"/>
              </w:rPr>
            </w:pPr>
            <w:r>
              <w:rPr>
                <w:rFonts w:ascii="arial" w:hAnsi="arial"/>
              </w:rPr>
              <w:t>upregulation of the blaZ/blaR1/blaI operon</w:t>
            </w:r>
          </w:p>
        </w:tc>
        <w:tc>
          <w:tcPr>
            <w:tcW w:w="2073" w:type="dxa"/>
            <w:tcBorders/>
            <w:vAlign w:val="bottom"/>
          </w:tcPr>
          <w:p>
            <w:pPr>
              <w:pStyle w:val="Normal"/>
              <w:tabs>
                <w:tab w:val="clear" w:pos="720"/>
              </w:tabs>
              <w:jc w:val="left"/>
              <w:rPr>
                <w:rFonts w:ascii="arial" w:hAnsi="arial"/>
              </w:rPr>
            </w:pPr>
            <w:r>
              <w:rPr>
                <w:rFonts w:ascii="arial" w:hAnsi="arial"/>
              </w:rPr>
              <w:t>Beta lactam</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K17837</w:t>
            </w:r>
          </w:p>
        </w:tc>
        <w:tc>
          <w:tcPr>
            <w:tcW w:w="1166" w:type="dxa"/>
            <w:tcBorders/>
            <w:vAlign w:val="bottom"/>
          </w:tcPr>
          <w:p>
            <w:pPr>
              <w:pStyle w:val="Normal"/>
              <w:tabs>
                <w:tab w:val="clear" w:pos="720"/>
              </w:tabs>
              <w:jc w:val="left"/>
              <w:rPr>
                <w:rFonts w:ascii="arial" w:hAnsi="arial"/>
              </w:rPr>
            </w:pPr>
            <w:r>
              <w:rPr>
                <w:rFonts w:ascii="arial" w:hAnsi="arial"/>
              </w:rPr>
              <w:t>blaB</w:t>
            </w:r>
          </w:p>
        </w:tc>
        <w:tc>
          <w:tcPr>
            <w:tcW w:w="4951" w:type="dxa"/>
            <w:tcBorders/>
            <w:vAlign w:val="bottom"/>
          </w:tcPr>
          <w:p>
            <w:pPr>
              <w:pStyle w:val="Normal"/>
              <w:tabs>
                <w:tab w:val="clear" w:pos="720"/>
              </w:tabs>
              <w:jc w:val="left"/>
              <w:rPr>
                <w:rFonts w:ascii="arial" w:hAnsi="arial"/>
              </w:rPr>
            </w:pPr>
            <w:r>
              <w:rPr>
                <w:rFonts w:ascii="arial" w:hAnsi="arial"/>
              </w:rPr>
              <w:t xml:space="preserve">Metallo-beta-lactamase class B </w:t>
            </w:r>
          </w:p>
        </w:tc>
        <w:tc>
          <w:tcPr>
            <w:tcW w:w="2073" w:type="dxa"/>
            <w:tcBorders/>
            <w:vAlign w:val="bottom"/>
          </w:tcPr>
          <w:p>
            <w:pPr>
              <w:pStyle w:val="Normal"/>
              <w:tabs>
                <w:tab w:val="clear" w:pos="720"/>
              </w:tabs>
              <w:jc w:val="left"/>
              <w:rPr>
                <w:rFonts w:ascii="arial" w:hAnsi="arial"/>
              </w:rPr>
            </w:pPr>
            <w:r>
              <w:rPr>
                <w:rFonts w:ascii="arial" w:hAnsi="arial"/>
              </w:rPr>
              <w:t>Beta lactam</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K18698</w:t>
            </w:r>
          </w:p>
        </w:tc>
        <w:tc>
          <w:tcPr>
            <w:tcW w:w="1166" w:type="dxa"/>
            <w:tcBorders/>
            <w:vAlign w:val="bottom"/>
          </w:tcPr>
          <w:p>
            <w:pPr>
              <w:pStyle w:val="Normal"/>
              <w:tabs>
                <w:tab w:val="clear" w:pos="720"/>
              </w:tabs>
              <w:jc w:val="left"/>
              <w:rPr>
                <w:rFonts w:ascii="arial" w:hAnsi="arial"/>
              </w:rPr>
            </w:pPr>
            <w:r>
              <w:rPr>
                <w:rFonts w:ascii="arial" w:hAnsi="arial"/>
              </w:rPr>
              <w:t>blaTEM</w:t>
            </w:r>
          </w:p>
        </w:tc>
        <w:tc>
          <w:tcPr>
            <w:tcW w:w="4951" w:type="dxa"/>
            <w:tcBorders/>
            <w:vAlign w:val="bottom"/>
          </w:tcPr>
          <w:p>
            <w:pPr>
              <w:pStyle w:val="Normal"/>
              <w:tabs>
                <w:tab w:val="clear" w:pos="720"/>
              </w:tabs>
              <w:jc w:val="left"/>
              <w:rPr>
                <w:rFonts w:ascii="arial" w:hAnsi="arial"/>
              </w:rPr>
            </w:pPr>
            <w:r>
              <w:rPr>
                <w:rFonts w:ascii="arial" w:hAnsi="arial"/>
              </w:rPr>
              <w:t>beta-lactamase class A TEM</w:t>
            </w:r>
          </w:p>
        </w:tc>
        <w:tc>
          <w:tcPr>
            <w:tcW w:w="2073" w:type="dxa"/>
            <w:tcBorders/>
            <w:vAlign w:val="bottom"/>
          </w:tcPr>
          <w:p>
            <w:pPr>
              <w:pStyle w:val="Normal"/>
              <w:tabs>
                <w:tab w:val="clear" w:pos="720"/>
              </w:tabs>
              <w:jc w:val="left"/>
              <w:rPr>
                <w:rFonts w:ascii="arial" w:hAnsi="arial"/>
              </w:rPr>
            </w:pPr>
            <w:r>
              <w:rPr>
                <w:rFonts w:ascii="arial" w:hAnsi="arial"/>
              </w:rPr>
              <w:t>Beta lactam</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K18766</w:t>
            </w:r>
          </w:p>
        </w:tc>
        <w:tc>
          <w:tcPr>
            <w:tcW w:w="1166" w:type="dxa"/>
            <w:tcBorders/>
            <w:vAlign w:val="bottom"/>
          </w:tcPr>
          <w:p>
            <w:pPr>
              <w:pStyle w:val="Normal"/>
              <w:tabs>
                <w:tab w:val="clear" w:pos="720"/>
              </w:tabs>
              <w:jc w:val="left"/>
              <w:rPr>
                <w:rFonts w:ascii="arial" w:hAnsi="arial"/>
              </w:rPr>
            </w:pPr>
            <w:r>
              <w:rPr>
                <w:rFonts w:ascii="arial" w:hAnsi="arial"/>
              </w:rPr>
              <w:t>blaZ</w:t>
            </w:r>
          </w:p>
        </w:tc>
        <w:tc>
          <w:tcPr>
            <w:tcW w:w="4951" w:type="dxa"/>
            <w:tcBorders/>
            <w:vAlign w:val="bottom"/>
          </w:tcPr>
          <w:p>
            <w:pPr>
              <w:pStyle w:val="Normal"/>
              <w:tabs>
                <w:tab w:val="clear" w:pos="720"/>
              </w:tabs>
              <w:jc w:val="left"/>
              <w:rPr>
                <w:rFonts w:ascii="arial" w:hAnsi="arial"/>
              </w:rPr>
            </w:pPr>
            <w:r>
              <w:rPr>
                <w:rFonts w:ascii="arial" w:hAnsi="arial"/>
              </w:rPr>
              <w:t>beta-lactamase class A BlaZ</w:t>
            </w:r>
          </w:p>
        </w:tc>
        <w:tc>
          <w:tcPr>
            <w:tcW w:w="2073" w:type="dxa"/>
            <w:tcBorders/>
            <w:vAlign w:val="bottom"/>
          </w:tcPr>
          <w:p>
            <w:pPr>
              <w:pStyle w:val="Normal"/>
              <w:tabs>
                <w:tab w:val="clear" w:pos="720"/>
              </w:tabs>
              <w:jc w:val="left"/>
              <w:rPr>
                <w:rFonts w:ascii="arial" w:hAnsi="arial"/>
              </w:rPr>
            </w:pPr>
            <w:r>
              <w:rPr>
                <w:rFonts w:ascii="arial" w:hAnsi="arial"/>
              </w:rPr>
              <w:t>Beta lactam</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K18793</w:t>
            </w:r>
          </w:p>
        </w:tc>
        <w:tc>
          <w:tcPr>
            <w:tcW w:w="1166" w:type="dxa"/>
            <w:tcBorders/>
            <w:vAlign w:val="bottom"/>
          </w:tcPr>
          <w:p>
            <w:pPr>
              <w:pStyle w:val="Normal"/>
              <w:tabs>
                <w:tab w:val="clear" w:pos="720"/>
              </w:tabs>
              <w:jc w:val="left"/>
              <w:rPr>
                <w:rFonts w:ascii="arial" w:hAnsi="arial"/>
              </w:rPr>
            </w:pPr>
            <w:r>
              <w:rPr>
                <w:rFonts w:ascii="arial" w:hAnsi="arial"/>
              </w:rPr>
              <w:t>blaOXA-23</w:t>
            </w:r>
          </w:p>
        </w:tc>
        <w:tc>
          <w:tcPr>
            <w:tcW w:w="4951" w:type="dxa"/>
            <w:tcBorders/>
            <w:vAlign w:val="bottom"/>
          </w:tcPr>
          <w:p>
            <w:pPr>
              <w:pStyle w:val="Normal"/>
              <w:tabs>
                <w:tab w:val="clear" w:pos="720"/>
              </w:tabs>
              <w:jc w:val="left"/>
              <w:rPr>
                <w:rFonts w:ascii="arial" w:hAnsi="arial"/>
              </w:rPr>
            </w:pPr>
            <w:r>
              <w:rPr>
                <w:rFonts w:ascii="arial" w:hAnsi="arial"/>
              </w:rPr>
              <w:t>beta-lactamase class D OXA-23</w:t>
            </w:r>
          </w:p>
        </w:tc>
        <w:tc>
          <w:tcPr>
            <w:tcW w:w="2073" w:type="dxa"/>
            <w:tcBorders/>
            <w:vAlign w:val="bottom"/>
          </w:tcPr>
          <w:p>
            <w:pPr>
              <w:pStyle w:val="Normal"/>
              <w:tabs>
                <w:tab w:val="clear" w:pos="720"/>
              </w:tabs>
              <w:jc w:val="left"/>
              <w:rPr>
                <w:rFonts w:ascii="arial" w:hAnsi="arial"/>
              </w:rPr>
            </w:pPr>
            <w:r>
              <w:rPr>
                <w:rFonts w:ascii="arial" w:hAnsi="arial"/>
              </w:rPr>
              <w:t>Beta lactam</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K18794</w:t>
            </w:r>
          </w:p>
        </w:tc>
        <w:tc>
          <w:tcPr>
            <w:tcW w:w="1166" w:type="dxa"/>
            <w:tcBorders/>
            <w:vAlign w:val="bottom"/>
          </w:tcPr>
          <w:p>
            <w:pPr>
              <w:pStyle w:val="Normal"/>
              <w:tabs>
                <w:tab w:val="clear" w:pos="720"/>
              </w:tabs>
              <w:jc w:val="left"/>
              <w:rPr>
                <w:rFonts w:ascii="arial" w:hAnsi="arial"/>
              </w:rPr>
            </w:pPr>
            <w:r>
              <w:rPr>
                <w:rFonts w:ascii="arial" w:hAnsi="arial"/>
              </w:rPr>
              <w:t>blaOXA-51</w:t>
            </w:r>
          </w:p>
        </w:tc>
        <w:tc>
          <w:tcPr>
            <w:tcW w:w="4951" w:type="dxa"/>
            <w:tcBorders/>
            <w:vAlign w:val="bottom"/>
          </w:tcPr>
          <w:p>
            <w:pPr>
              <w:pStyle w:val="Normal"/>
              <w:tabs>
                <w:tab w:val="clear" w:pos="720"/>
              </w:tabs>
              <w:jc w:val="left"/>
              <w:rPr>
                <w:rFonts w:ascii="arial" w:hAnsi="arial"/>
              </w:rPr>
            </w:pPr>
            <w:r>
              <w:rPr>
                <w:rFonts w:ascii="arial" w:hAnsi="arial"/>
              </w:rPr>
              <w:t>beta-lactamase class D OXA-51</w:t>
            </w:r>
          </w:p>
        </w:tc>
        <w:tc>
          <w:tcPr>
            <w:tcW w:w="2073" w:type="dxa"/>
            <w:tcBorders/>
            <w:vAlign w:val="bottom"/>
          </w:tcPr>
          <w:p>
            <w:pPr>
              <w:pStyle w:val="Normal"/>
              <w:tabs>
                <w:tab w:val="clear" w:pos="720"/>
              </w:tabs>
              <w:jc w:val="left"/>
              <w:rPr>
                <w:rFonts w:ascii="arial" w:hAnsi="arial"/>
              </w:rPr>
            </w:pPr>
            <w:r>
              <w:rPr>
                <w:rFonts w:ascii="arial" w:hAnsi="arial"/>
              </w:rPr>
              <w:t>Beta lactam</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K19096</w:t>
            </w:r>
          </w:p>
        </w:tc>
        <w:tc>
          <w:tcPr>
            <w:tcW w:w="1166" w:type="dxa"/>
            <w:tcBorders/>
            <w:vAlign w:val="bottom"/>
          </w:tcPr>
          <w:p>
            <w:pPr>
              <w:pStyle w:val="Normal"/>
              <w:tabs>
                <w:tab w:val="clear" w:pos="720"/>
              </w:tabs>
              <w:jc w:val="left"/>
              <w:rPr>
                <w:rFonts w:ascii="arial" w:hAnsi="arial"/>
              </w:rPr>
            </w:pPr>
            <w:r>
              <w:rPr>
                <w:rFonts w:ascii="arial" w:hAnsi="arial"/>
              </w:rPr>
              <w:t>blaCMY-2</w:t>
            </w:r>
          </w:p>
        </w:tc>
        <w:tc>
          <w:tcPr>
            <w:tcW w:w="4951" w:type="dxa"/>
            <w:tcBorders/>
            <w:vAlign w:val="bottom"/>
          </w:tcPr>
          <w:p>
            <w:pPr>
              <w:pStyle w:val="Normal"/>
              <w:tabs>
                <w:tab w:val="clear" w:pos="720"/>
              </w:tabs>
              <w:jc w:val="left"/>
              <w:rPr>
                <w:rFonts w:ascii="arial" w:hAnsi="arial"/>
              </w:rPr>
            </w:pPr>
            <w:r>
              <w:rPr>
                <w:rFonts w:ascii="arial" w:hAnsi="arial"/>
              </w:rPr>
              <w:t>beta-lactamase class C CMY-2</w:t>
            </w:r>
          </w:p>
        </w:tc>
        <w:tc>
          <w:tcPr>
            <w:tcW w:w="2073" w:type="dxa"/>
            <w:tcBorders/>
            <w:vAlign w:val="bottom"/>
          </w:tcPr>
          <w:p>
            <w:pPr>
              <w:pStyle w:val="Normal"/>
              <w:tabs>
                <w:tab w:val="clear" w:pos="720"/>
              </w:tabs>
              <w:jc w:val="left"/>
              <w:rPr>
                <w:rFonts w:ascii="arial" w:hAnsi="arial"/>
              </w:rPr>
            </w:pPr>
            <w:r>
              <w:rPr>
                <w:rFonts w:ascii="arial" w:hAnsi="arial"/>
              </w:rPr>
              <w:t>Beta lactam</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K19097</w:t>
            </w:r>
          </w:p>
        </w:tc>
        <w:tc>
          <w:tcPr>
            <w:tcW w:w="1166" w:type="dxa"/>
            <w:tcBorders/>
            <w:vAlign w:val="bottom"/>
          </w:tcPr>
          <w:p>
            <w:pPr>
              <w:pStyle w:val="Normal"/>
              <w:tabs>
                <w:tab w:val="clear" w:pos="720"/>
              </w:tabs>
              <w:jc w:val="left"/>
              <w:rPr>
                <w:rFonts w:ascii="arial" w:hAnsi="arial"/>
              </w:rPr>
            </w:pPr>
            <w:r>
              <w:rPr>
                <w:rFonts w:ascii="arial" w:hAnsi="arial"/>
              </w:rPr>
              <w:t>blaVEB</w:t>
            </w:r>
          </w:p>
        </w:tc>
        <w:tc>
          <w:tcPr>
            <w:tcW w:w="4951" w:type="dxa"/>
            <w:tcBorders/>
            <w:vAlign w:val="bottom"/>
          </w:tcPr>
          <w:p>
            <w:pPr>
              <w:pStyle w:val="Normal"/>
              <w:tabs>
                <w:tab w:val="clear" w:pos="720"/>
              </w:tabs>
              <w:jc w:val="left"/>
              <w:rPr>
                <w:rFonts w:ascii="arial" w:hAnsi="arial"/>
              </w:rPr>
            </w:pPr>
            <w:r>
              <w:rPr>
                <w:rFonts w:ascii="arial" w:hAnsi="arial"/>
              </w:rPr>
              <w:t>beta-lactamase class A VEB</w:t>
            </w:r>
          </w:p>
        </w:tc>
        <w:tc>
          <w:tcPr>
            <w:tcW w:w="2073" w:type="dxa"/>
            <w:tcBorders/>
            <w:vAlign w:val="bottom"/>
          </w:tcPr>
          <w:p>
            <w:pPr>
              <w:pStyle w:val="Normal"/>
              <w:tabs>
                <w:tab w:val="clear" w:pos="720"/>
              </w:tabs>
              <w:jc w:val="left"/>
              <w:rPr>
                <w:rFonts w:ascii="arial" w:hAnsi="arial"/>
              </w:rPr>
            </w:pPr>
            <w:r>
              <w:rPr>
                <w:rFonts w:ascii="arial" w:hAnsi="arial"/>
              </w:rPr>
              <w:t>Beta lactam</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K19212</w:t>
            </w:r>
          </w:p>
        </w:tc>
        <w:tc>
          <w:tcPr>
            <w:tcW w:w="1166" w:type="dxa"/>
            <w:tcBorders/>
            <w:vAlign w:val="bottom"/>
          </w:tcPr>
          <w:p>
            <w:pPr>
              <w:pStyle w:val="Normal"/>
              <w:tabs>
                <w:tab w:val="clear" w:pos="720"/>
              </w:tabs>
              <w:jc w:val="left"/>
              <w:rPr>
                <w:rFonts w:ascii="arial" w:hAnsi="arial"/>
              </w:rPr>
            </w:pPr>
            <w:r>
              <w:rPr>
                <w:rFonts w:ascii="arial" w:hAnsi="arial"/>
              </w:rPr>
              <w:t>blaOXA-63</w:t>
            </w:r>
          </w:p>
        </w:tc>
        <w:tc>
          <w:tcPr>
            <w:tcW w:w="4951" w:type="dxa"/>
            <w:tcBorders/>
            <w:vAlign w:val="bottom"/>
          </w:tcPr>
          <w:p>
            <w:pPr>
              <w:pStyle w:val="Normal"/>
              <w:tabs>
                <w:tab w:val="clear" w:pos="720"/>
              </w:tabs>
              <w:jc w:val="left"/>
              <w:rPr>
                <w:rFonts w:ascii="arial" w:hAnsi="arial"/>
              </w:rPr>
            </w:pPr>
            <w:r>
              <w:rPr>
                <w:rFonts w:ascii="arial" w:hAnsi="arial"/>
              </w:rPr>
              <w:t>beta-lactamase class D OXA-63</w:t>
            </w:r>
          </w:p>
        </w:tc>
        <w:tc>
          <w:tcPr>
            <w:tcW w:w="2073" w:type="dxa"/>
            <w:tcBorders/>
            <w:vAlign w:val="bottom"/>
          </w:tcPr>
          <w:p>
            <w:pPr>
              <w:pStyle w:val="Normal"/>
              <w:tabs>
                <w:tab w:val="clear" w:pos="720"/>
              </w:tabs>
              <w:jc w:val="left"/>
              <w:rPr>
                <w:rFonts w:ascii="arial" w:hAnsi="arial"/>
              </w:rPr>
            </w:pPr>
            <w:r>
              <w:rPr>
                <w:rFonts w:ascii="arial" w:hAnsi="arial"/>
              </w:rPr>
              <w:t>Beta lactam</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K18824</w:t>
            </w:r>
          </w:p>
        </w:tc>
        <w:tc>
          <w:tcPr>
            <w:tcW w:w="1166" w:type="dxa"/>
            <w:tcBorders/>
            <w:vAlign w:val="bottom"/>
          </w:tcPr>
          <w:p>
            <w:pPr>
              <w:pStyle w:val="Normal"/>
              <w:tabs>
                <w:tab w:val="clear" w:pos="720"/>
              </w:tabs>
              <w:jc w:val="left"/>
              <w:rPr>
                <w:rFonts w:ascii="arial" w:hAnsi="arial"/>
              </w:rPr>
            </w:pPr>
            <w:r>
              <w:rPr>
                <w:rFonts w:ascii="arial" w:hAnsi="arial"/>
              </w:rPr>
              <w:t>sul2</w:t>
            </w:r>
          </w:p>
        </w:tc>
        <w:tc>
          <w:tcPr>
            <w:tcW w:w="4951" w:type="dxa"/>
            <w:tcBorders/>
            <w:vAlign w:val="bottom"/>
          </w:tcPr>
          <w:p>
            <w:pPr>
              <w:pStyle w:val="Normal"/>
              <w:tabs>
                <w:tab w:val="clear" w:pos="720"/>
              </w:tabs>
              <w:jc w:val="left"/>
              <w:rPr>
                <w:rFonts w:ascii="arial" w:hAnsi="arial"/>
              </w:rPr>
            </w:pPr>
            <w:r>
              <w:rPr>
                <w:rFonts w:ascii="arial" w:hAnsi="arial"/>
              </w:rPr>
              <w:t>dihydropteroate synthase type 2</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S</w:t>
            </w:r>
            <w:r>
              <w:rPr>
                <w:rFonts w:ascii="arial" w:hAnsi="arial"/>
              </w:rPr>
              <w:t>ulfonamide</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K04343</w:t>
            </w:r>
          </w:p>
        </w:tc>
        <w:tc>
          <w:tcPr>
            <w:tcW w:w="1166" w:type="dxa"/>
            <w:tcBorders/>
            <w:vAlign w:val="bottom"/>
          </w:tcPr>
          <w:p>
            <w:pPr>
              <w:pStyle w:val="Normal"/>
              <w:tabs>
                <w:tab w:val="clear" w:pos="720"/>
              </w:tabs>
              <w:jc w:val="left"/>
              <w:rPr>
                <w:rFonts w:ascii="arial" w:hAnsi="arial"/>
              </w:rPr>
            </w:pPr>
            <w:r>
              <w:rPr>
                <w:rFonts w:ascii="arial" w:hAnsi="arial"/>
              </w:rPr>
              <w:t>strB</w:t>
            </w:r>
          </w:p>
        </w:tc>
        <w:tc>
          <w:tcPr>
            <w:tcW w:w="4951" w:type="dxa"/>
            <w:tcBorders/>
            <w:vAlign w:val="bottom"/>
          </w:tcPr>
          <w:p>
            <w:pPr>
              <w:pStyle w:val="Normal"/>
              <w:tabs>
                <w:tab w:val="clear" w:pos="720"/>
              </w:tabs>
              <w:jc w:val="left"/>
              <w:rPr>
                <w:rFonts w:ascii="arial" w:hAnsi="arial"/>
              </w:rPr>
            </w:pPr>
            <w:r>
              <w:rPr>
                <w:rFonts w:ascii="arial" w:hAnsi="arial"/>
              </w:rPr>
              <w:t>streptomycin 6-kinase</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A</w:t>
            </w:r>
            <w:r>
              <w:rPr>
                <w:rFonts w:ascii="arial" w:hAnsi="arial"/>
              </w:rPr>
              <w:t>minoglycoside</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K03862</w:t>
            </w:r>
          </w:p>
        </w:tc>
        <w:tc>
          <w:tcPr>
            <w:tcW w:w="1166" w:type="dxa"/>
            <w:tcBorders/>
            <w:vAlign w:val="bottom"/>
          </w:tcPr>
          <w:p>
            <w:pPr>
              <w:pStyle w:val="Normal"/>
              <w:tabs>
                <w:tab w:val="clear" w:pos="720"/>
              </w:tabs>
              <w:jc w:val="left"/>
              <w:rPr>
                <w:rFonts w:ascii="arial" w:hAnsi="arial"/>
              </w:rPr>
            </w:pPr>
            <w:r>
              <w:rPr>
                <w:rFonts w:ascii="arial" w:hAnsi="arial"/>
              </w:rPr>
              <w:t>vanA</w:t>
            </w:r>
          </w:p>
        </w:tc>
        <w:tc>
          <w:tcPr>
            <w:tcW w:w="4951" w:type="dxa"/>
            <w:tcBorders/>
            <w:vAlign w:val="bottom"/>
          </w:tcPr>
          <w:p>
            <w:pPr>
              <w:pStyle w:val="Normal"/>
              <w:tabs>
                <w:tab w:val="clear" w:pos="720"/>
              </w:tabs>
              <w:jc w:val="left"/>
              <w:rPr>
                <w:rFonts w:ascii="arial" w:hAnsi="arial"/>
              </w:rPr>
            </w:pPr>
            <w:r>
              <w:rPr>
                <w:rFonts w:ascii="arial" w:hAnsi="arial"/>
              </w:rPr>
              <w:t>D-Ala-D-Ala ligase</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G</w:t>
            </w:r>
            <w:r>
              <w:rPr>
                <w:rFonts w:ascii="arial" w:hAnsi="arial"/>
              </w:rPr>
              <w:t>lycopeptide</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K18552</w:t>
            </w:r>
          </w:p>
        </w:tc>
        <w:tc>
          <w:tcPr>
            <w:tcW w:w="1166" w:type="dxa"/>
            <w:tcBorders/>
            <w:vAlign w:val="bottom"/>
          </w:tcPr>
          <w:p>
            <w:pPr>
              <w:pStyle w:val="Normal"/>
              <w:tabs>
                <w:tab w:val="clear" w:pos="720"/>
              </w:tabs>
              <w:jc w:val="left"/>
              <w:rPr>
                <w:rFonts w:ascii="arial" w:hAnsi="arial"/>
              </w:rPr>
            </w:pPr>
            <w:r>
              <w:rPr>
                <w:rFonts w:ascii="arial" w:hAnsi="arial"/>
              </w:rPr>
              <w:t>floR</w:t>
            </w:r>
          </w:p>
        </w:tc>
        <w:tc>
          <w:tcPr>
            <w:tcW w:w="4951" w:type="dxa"/>
            <w:tcBorders/>
            <w:vAlign w:val="bottom"/>
          </w:tcPr>
          <w:p>
            <w:pPr>
              <w:pStyle w:val="Normal"/>
              <w:tabs>
                <w:tab w:val="clear" w:pos="720"/>
              </w:tabs>
              <w:jc w:val="left"/>
              <w:rPr>
                <w:rFonts w:ascii="arial" w:hAnsi="arial"/>
              </w:rPr>
            </w:pPr>
            <w:r>
              <w:rPr>
                <w:rFonts w:ascii="arial" w:hAnsi="arial"/>
              </w:rPr>
              <w:t>florfenicol/chloramphenicol resistance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P</w:t>
            </w:r>
            <w:r>
              <w:rPr>
                <w:rFonts w:ascii="arial" w:hAnsi="arial"/>
              </w:rPr>
              <w:t>henicol</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K18554</w:t>
            </w:r>
          </w:p>
        </w:tc>
        <w:tc>
          <w:tcPr>
            <w:tcW w:w="1166" w:type="dxa"/>
            <w:tcBorders/>
            <w:vAlign w:val="bottom"/>
          </w:tcPr>
          <w:p>
            <w:pPr>
              <w:pStyle w:val="Normal"/>
              <w:tabs>
                <w:tab w:val="clear" w:pos="720"/>
              </w:tabs>
              <w:jc w:val="left"/>
              <w:rPr>
                <w:rFonts w:ascii="arial" w:hAnsi="arial"/>
              </w:rPr>
            </w:pPr>
            <w:r>
              <w:rPr>
                <w:rFonts w:ascii="arial" w:hAnsi="arial"/>
              </w:rPr>
              <w:t>cpt</w:t>
            </w:r>
          </w:p>
        </w:tc>
        <w:tc>
          <w:tcPr>
            <w:tcW w:w="4951" w:type="dxa"/>
            <w:tcBorders/>
            <w:vAlign w:val="bottom"/>
          </w:tcPr>
          <w:p>
            <w:pPr>
              <w:pStyle w:val="Normal"/>
              <w:tabs>
                <w:tab w:val="clear" w:pos="720"/>
              </w:tabs>
              <w:jc w:val="left"/>
              <w:rPr>
                <w:rFonts w:ascii="arial" w:hAnsi="arial"/>
              </w:rPr>
            </w:pPr>
            <w:r>
              <w:rPr>
                <w:rFonts w:ascii="arial" w:hAnsi="arial"/>
              </w:rPr>
              <w:t>chloramphenicol 3-O phosphotransferase</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P</w:t>
            </w:r>
            <w:r>
              <w:rPr>
                <w:rFonts w:ascii="arial" w:hAnsi="arial"/>
              </w:rPr>
              <w:t>henicol</w:t>
            </w:r>
          </w:p>
        </w:tc>
      </w:tr>
      <w:tr>
        <w:trPr>
          <w:trHeight w:val="300" w:hRule="atLeast"/>
        </w:trPr>
        <w:tc>
          <w:tcPr>
            <w:tcW w:w="1260" w:type="dxa"/>
            <w:tcBorders/>
            <w:vAlign w:val="bottom"/>
          </w:tcPr>
          <w:p>
            <w:pPr>
              <w:pStyle w:val="Normal"/>
              <w:tabs>
                <w:tab w:val="clear" w:pos="720"/>
              </w:tabs>
              <w:jc w:val="left"/>
              <w:rPr>
                <w:rFonts w:ascii="arial" w:hAnsi="arial"/>
              </w:rPr>
            </w:pPr>
            <w:r>
              <w:rPr>
                <w:rFonts w:ascii="arial" w:hAnsi="arial"/>
              </w:rPr>
              <w:t>K18555</w:t>
            </w:r>
          </w:p>
        </w:tc>
        <w:tc>
          <w:tcPr>
            <w:tcW w:w="1166" w:type="dxa"/>
            <w:tcBorders/>
            <w:vAlign w:val="bottom"/>
          </w:tcPr>
          <w:p>
            <w:pPr>
              <w:pStyle w:val="Normal"/>
              <w:tabs>
                <w:tab w:val="clear" w:pos="720"/>
              </w:tabs>
              <w:jc w:val="left"/>
              <w:rPr>
                <w:rFonts w:ascii="arial" w:hAnsi="arial"/>
              </w:rPr>
            </w:pPr>
            <w:r>
              <w:rPr>
                <w:rFonts w:ascii="arial" w:hAnsi="arial"/>
              </w:rPr>
              <w:t>mcbG</w:t>
            </w:r>
          </w:p>
        </w:tc>
        <w:tc>
          <w:tcPr>
            <w:tcW w:w="4951" w:type="dxa"/>
            <w:tcBorders/>
            <w:vAlign w:val="bottom"/>
          </w:tcPr>
          <w:p>
            <w:pPr>
              <w:pStyle w:val="Normal"/>
              <w:tabs>
                <w:tab w:val="clear" w:pos="720"/>
              </w:tabs>
              <w:jc w:val="left"/>
              <w:rPr>
                <w:rFonts w:ascii="arial" w:hAnsi="arial"/>
              </w:rPr>
            </w:pPr>
            <w:r>
              <w:rPr>
                <w:rFonts w:ascii="arial" w:hAnsi="arial"/>
              </w:rPr>
              <w:t>fluoroquinolone resistance protein</w:t>
            </w:r>
          </w:p>
        </w:tc>
        <w:tc>
          <w:tcPr>
            <w:tcW w:w="2073" w:type="dxa"/>
            <w:tcBorders/>
            <w:vAlign w:val="bottom"/>
          </w:tcPr>
          <w:p>
            <w:pPr>
              <w:pStyle w:val="Normal"/>
              <w:tabs>
                <w:tab w:val="clear" w:pos="720"/>
              </w:tabs>
              <w:jc w:val="left"/>
              <w:rPr/>
            </w:pPr>
            <w:r>
              <w:rPr>
                <w:rFonts w:eastAsia="Noto Serif CJK SC" w:cs="Lohit Devanagari" w:ascii="arial" w:hAnsi="arial"/>
                <w:color w:val="auto"/>
                <w:kern w:val="2"/>
                <w:sz w:val="24"/>
                <w:szCs w:val="24"/>
                <w:lang w:val="en-US" w:eastAsia="zh-CN" w:bidi="hi-IN"/>
              </w:rPr>
              <w:t>Q</w:t>
            </w:r>
            <w:r>
              <w:rPr>
                <w:rFonts w:ascii="arial" w:hAnsi="arial"/>
              </w:rPr>
              <w:t>uinolone</w:t>
            </w:r>
          </w:p>
        </w:tc>
      </w:tr>
    </w:tbl>
    <w:p>
      <w:pPr>
        <w:pStyle w:val="Normal"/>
        <w:rPr>
          <w:rFonts w:ascii="arial" w:hAnsi="arial"/>
        </w:rPr>
      </w:pPr>
      <w:r>
        <w:rPr>
          <w:rFonts w:ascii="arial" w:hAnsi="arial"/>
        </w:rPr>
      </w:r>
      <w:r>
        <w:br w:type="page"/>
      </w:r>
    </w:p>
    <w:p>
      <w:pPr>
        <w:pStyle w:val="LOnormal"/>
        <w:jc w:val="both"/>
        <w:rPr>
          <w:rFonts w:ascii="arial" w:hAnsi="arial"/>
        </w:rPr>
      </w:pPr>
      <w:r>
        <w:rPr>
          <w:rFonts w:ascii="arial" w:hAnsi="arial"/>
          <w:b/>
        </w:rPr>
        <w:t xml:space="preserve">Supplement </w:t>
      </w:r>
      <w:r>
        <w:rPr>
          <w:rFonts w:eastAsia="Noto Serif CJK SC" w:cs="Lohit Devanagari" w:ascii="arial" w:hAnsi="arial"/>
          <w:b/>
          <w:color w:val="auto"/>
          <w:kern w:val="2"/>
          <w:sz w:val="24"/>
          <w:szCs w:val="24"/>
          <w:lang w:val="en-US" w:eastAsia="zh-CN" w:bidi="hi-IN"/>
        </w:rPr>
        <w:t>4.</w:t>
      </w:r>
    </w:p>
    <w:p>
      <w:pPr>
        <w:pStyle w:val="LOnormal"/>
        <w:jc w:val="both"/>
        <w:rPr>
          <w:rFonts w:ascii="arial" w:hAnsi="arial"/>
        </w:rPr>
      </w:pPr>
      <w:r>
        <w:rPr>
          <w:rFonts w:ascii="arial" w:hAnsi="arial"/>
        </w:rPr>
      </w:r>
    </w:p>
    <w:p>
      <w:pPr>
        <w:pStyle w:val="LOnormal"/>
        <w:jc w:val="both"/>
        <w:rPr>
          <w:rFonts w:ascii="arial" w:hAnsi="arial"/>
        </w:rPr>
      </w:pPr>
      <w:r>
        <w:rPr>
          <w:rFonts w:ascii="arial" w:hAnsi="arial"/>
          <w:b/>
        </w:rPr>
        <w:t xml:space="preserve">Supplement table </w:t>
      </w:r>
      <w:r>
        <w:rPr>
          <w:rFonts w:eastAsia="Noto Serif CJK SC" w:cs="Lohit Devanagari" w:ascii="arial" w:hAnsi="arial"/>
          <w:b/>
          <w:color w:val="auto"/>
          <w:kern w:val="2"/>
          <w:sz w:val="24"/>
          <w:szCs w:val="24"/>
          <w:lang w:val="en-US" w:eastAsia="zh-CN" w:bidi="hi-IN"/>
        </w:rPr>
        <w:t>4.1</w:t>
      </w:r>
      <w:r>
        <w:rPr>
          <w:rFonts w:ascii="arial" w:hAnsi="arial"/>
          <w:b/>
        </w:rPr>
        <w:t>.</w:t>
      </w:r>
      <w:r>
        <w:rPr>
          <w:rFonts w:ascii="arial" w:hAnsi="arial"/>
          <w:b/>
          <w:sz w:val="22"/>
          <w:szCs w:val="22"/>
        </w:rPr>
        <w:t xml:space="preserve"> </w:t>
      </w:r>
      <w:r>
        <w:rPr>
          <w:rFonts w:ascii="arial" w:hAnsi="arial"/>
          <w:b/>
          <w:sz w:val="24"/>
          <w:szCs w:val="24"/>
        </w:rPr>
        <w:t xml:space="preserve">Transgressive phenotypes estimated by maximum likelihood for ARG and bacteria richness. 𝛼 represents the magnitude of the effect of hybridisation. </w:t>
      </w:r>
      <w:r>
        <w:rPr>
          <w:rFonts w:eastAsia="Noto Serif CJK SC" w:cs="Lohit Devanagari" w:ascii="arial" w:hAnsi="arial"/>
          <w:b/>
          <w:i w:val="false"/>
          <w:caps w:val="false"/>
          <w:smallCaps w:val="false"/>
          <w:strike w:val="false"/>
          <w:dstrike w:val="false"/>
          <w:color w:val="0E101A"/>
          <w:kern w:val="2"/>
          <w:sz w:val="24"/>
          <w:szCs w:val="24"/>
          <w:u w:val="none"/>
          <w:effect w:val="none"/>
          <w:lang w:val="en-US" w:eastAsia="zh-CN" w:bidi="hi-IN"/>
        </w:rPr>
        <w:t>M</w:t>
      </w:r>
      <w:r>
        <w:rPr>
          <w:rFonts w:ascii="arial" w:hAnsi="arial"/>
          <w:b/>
          <w:i w:val="false"/>
          <w:caps w:val="false"/>
          <w:smallCaps w:val="false"/>
          <w:strike w:val="false"/>
          <w:dstrike w:val="false"/>
          <w:color w:val="0E101A"/>
          <w:sz w:val="24"/>
          <w:szCs w:val="24"/>
          <w:u w:val="none"/>
          <w:effect w:val="none"/>
        </w:rPr>
        <w:t>odels including or excluding parental subspecies (</w:t>
      </w:r>
      <w:r>
        <w:rPr>
          <w:rFonts w:ascii="arial" w:hAnsi="arial"/>
          <w:b/>
          <w:i/>
          <w:iCs/>
          <w:caps w:val="false"/>
          <w:smallCaps w:val="false"/>
          <w:strike w:val="false"/>
          <w:dstrike w:val="false"/>
          <w:color w:val="0E101A"/>
          <w:sz w:val="24"/>
          <w:szCs w:val="24"/>
          <w:u w:val="none"/>
          <w:effect w:val="none"/>
        </w:rPr>
        <w:t>Mmd</w:t>
      </w:r>
      <w:r>
        <w:rPr>
          <w:rFonts w:ascii="arial" w:hAnsi="arial"/>
          <w:b/>
          <w:i w:val="false"/>
          <w:caps w:val="false"/>
          <w:smallCaps w:val="false"/>
          <w:strike w:val="false"/>
          <w:dstrike w:val="false"/>
          <w:color w:val="0E101A"/>
          <w:sz w:val="24"/>
          <w:szCs w:val="24"/>
          <w:u w:val="none"/>
          <w:effect w:val="none"/>
        </w:rPr>
        <w:t xml:space="preserve"> and </w:t>
      </w:r>
      <w:r>
        <w:rPr>
          <w:rFonts w:ascii="arial" w:hAnsi="arial"/>
          <w:b/>
          <w:i/>
          <w:iCs/>
          <w:caps w:val="false"/>
          <w:smallCaps w:val="false"/>
          <w:strike w:val="false"/>
          <w:dstrike w:val="false"/>
          <w:color w:val="0E101A"/>
          <w:sz w:val="24"/>
          <w:szCs w:val="24"/>
          <w:u w:val="none"/>
          <w:effect w:val="none"/>
        </w:rPr>
        <w:t>Mmm</w:t>
      </w:r>
      <w:r>
        <w:rPr>
          <w:rFonts w:ascii="arial" w:hAnsi="arial"/>
          <w:b/>
          <w:i w:val="false"/>
          <w:caps w:val="false"/>
          <w:smallCaps w:val="false"/>
          <w:strike w:val="false"/>
          <w:dstrike w:val="false"/>
          <w:color w:val="0E101A"/>
          <w:sz w:val="24"/>
          <w:szCs w:val="24"/>
          <w:u w:val="none"/>
          <w:effect w:val="none"/>
        </w:rPr>
        <w:t>) and the two transect (Brandenburg and Bavaria) as predictors using likelihood-ratio tests and considered a pred</w:t>
      </w:r>
      <w:r>
        <w:rPr>
          <w:rFonts w:eastAsia="Noto Serif CJK SC" w:cs="Lohit Devanagari" w:ascii="arial" w:hAnsi="arial"/>
          <w:b/>
          <w:i w:val="false"/>
          <w:caps w:val="false"/>
          <w:smallCaps w:val="false"/>
          <w:strike w:val="false"/>
          <w:dstrike w:val="false"/>
          <w:color w:val="0E101A"/>
          <w:kern w:val="2"/>
          <w:sz w:val="24"/>
          <w:szCs w:val="24"/>
          <w:u w:val="none"/>
          <w:effect w:val="none"/>
          <w:lang w:val="en-US" w:eastAsia="zh-CN" w:bidi="hi-IN"/>
        </w:rPr>
        <w:t>ictor</w:t>
      </w:r>
      <w:r>
        <w:rPr>
          <w:rFonts w:ascii="arial" w:hAnsi="arial"/>
          <w:b/>
          <w:i w:val="false"/>
          <w:caps w:val="false"/>
          <w:smallCaps w:val="false"/>
          <w:strike w:val="false"/>
          <w:dstrike w:val="false"/>
          <w:color w:val="0E101A"/>
          <w:sz w:val="24"/>
          <w:szCs w:val="24"/>
          <w:u w:val="none"/>
          <w:effect w:val="none"/>
        </w:rPr>
        <w:t xml:space="preserve"> significant only in case of a significant increase in model likelihood</w:t>
      </w:r>
      <w:r>
        <w:rPr>
          <w:rFonts w:ascii="arial" w:hAnsi="arial"/>
          <w:b/>
          <w:i w:val="false"/>
          <w:caps w:val="false"/>
          <w:smallCaps w:val="false"/>
          <w:strike w:val="false"/>
          <w:dstrike w:val="false"/>
          <w:color w:val="0E101A"/>
          <w:sz w:val="22"/>
          <w:szCs w:val="22"/>
          <w:u w:val="none"/>
          <w:effect w:val="none"/>
        </w:rPr>
        <w:t xml:space="preserve"> </w:t>
      </w:r>
    </w:p>
    <w:p>
      <w:pPr>
        <w:pStyle w:val="LOnormal"/>
        <w:jc w:val="both"/>
        <w:rPr>
          <w:rFonts w:ascii="arial" w:hAnsi="arial"/>
        </w:rPr>
      </w:pPr>
      <w:r>
        <w:rPr>
          <w:rFonts w:ascii="arial" w:hAnsi="arial"/>
        </w:rPr>
      </w:r>
    </w:p>
    <w:tbl>
      <w:tblPr>
        <w:tblStyle w:val="Table2"/>
        <w:tblW w:w="9187" w:type="dxa"/>
        <w:jc w:val="left"/>
        <w:tblInd w:w="417" w:type="dxa"/>
        <w:tblCellMar>
          <w:top w:w="100" w:type="dxa"/>
          <w:left w:w="100" w:type="dxa"/>
          <w:bottom w:w="100" w:type="dxa"/>
          <w:right w:w="100" w:type="dxa"/>
        </w:tblCellMar>
        <w:tblLook w:val="0600"/>
      </w:tblPr>
      <w:tblGrid>
        <w:gridCol w:w="1814"/>
        <w:gridCol w:w="1878"/>
        <w:gridCol w:w="992"/>
        <w:gridCol w:w="1444"/>
        <w:gridCol w:w="1345"/>
        <w:gridCol w:w="1713"/>
      </w:tblGrid>
      <w:tr>
        <w:trPr>
          <w:trHeight w:val="715" w:hRule="atLeast"/>
        </w:trPr>
        <w:tc>
          <w:tcPr>
            <w:tcW w:w="1814" w:type="dxa"/>
            <w:tcBorders>
              <w:top w:val="single" w:sz="12" w:space="0" w:color="000000"/>
              <w:left w:val="single" w:sz="8" w:space="0" w:color="FFFFFF"/>
              <w:bottom w:val="single" w:sz="12" w:space="0" w:color="000000"/>
            </w:tcBorders>
            <w:shd w:fill="auto" w:val="clear"/>
            <w:vAlign w:val="center"/>
          </w:tcPr>
          <w:p>
            <w:pPr>
              <w:pStyle w:val="LOnormal"/>
              <w:widowControl w:val="false"/>
              <w:spacing w:lineRule="auto" w:line="240"/>
              <w:jc w:val="center"/>
              <w:rPr>
                <w:b/>
                <w:b/>
              </w:rPr>
            </w:pPr>
            <w:r>
              <w:rPr>
                <w:rFonts w:ascii="arial" w:hAnsi="arial"/>
                <w:b/>
              </w:rPr>
              <w:t>Response</w:t>
            </w:r>
          </w:p>
        </w:tc>
        <w:tc>
          <w:tcPr>
            <w:tcW w:w="1878" w:type="dxa"/>
            <w:tcBorders>
              <w:top w:val="single" w:sz="12" w:space="0" w:color="000000"/>
              <w:left w:val="single" w:sz="8" w:space="0" w:color="FFFFFF"/>
              <w:bottom w:val="single" w:sz="12" w:space="0" w:color="000000"/>
            </w:tcBorders>
            <w:shd w:fill="auto" w:val="clear"/>
            <w:vAlign w:val="center"/>
          </w:tcPr>
          <w:p>
            <w:pPr>
              <w:pStyle w:val="LOnormal"/>
              <w:widowControl w:val="false"/>
              <w:spacing w:lineRule="auto" w:line="240"/>
              <w:jc w:val="center"/>
              <w:rPr>
                <w:b/>
                <w:b/>
              </w:rPr>
            </w:pPr>
            <w:r>
              <w:rPr>
                <w:rFonts w:ascii="arial" w:hAnsi="arial"/>
                <w:b/>
              </w:rPr>
              <w:t>Predictors</w:t>
            </w:r>
          </w:p>
        </w:tc>
        <w:tc>
          <w:tcPr>
            <w:tcW w:w="992" w:type="dxa"/>
            <w:tcBorders>
              <w:top w:val="single" w:sz="12" w:space="0" w:color="000000"/>
              <w:left w:val="single" w:sz="8" w:space="0" w:color="FFFFFF"/>
              <w:bottom w:val="single" w:sz="12" w:space="0" w:color="000000"/>
            </w:tcBorders>
            <w:shd w:fill="auto" w:val="clear"/>
            <w:vAlign w:val="center"/>
          </w:tcPr>
          <w:p>
            <w:pPr>
              <w:pStyle w:val="LOnormal"/>
              <w:jc w:val="center"/>
              <w:rPr>
                <w:b/>
                <w:b/>
              </w:rPr>
            </w:pPr>
            <w:r>
              <w:rPr>
                <w:rFonts w:ascii="arial" w:hAnsi="arial"/>
                <w:b/>
              </w:rPr>
              <w:t>𝛼</w:t>
            </w:r>
          </w:p>
          <w:p>
            <w:pPr>
              <w:pStyle w:val="LOnormal"/>
              <w:jc w:val="center"/>
              <w:rPr>
                <w:b/>
                <w:b/>
              </w:rPr>
            </w:pPr>
            <w:r>
              <w:rPr>
                <w:rFonts w:ascii="arial" w:hAnsi="arial"/>
                <w:b/>
              </w:rPr>
              <w:t>Hybrid effect</w:t>
            </w:r>
          </w:p>
        </w:tc>
        <w:tc>
          <w:tcPr>
            <w:tcW w:w="1444" w:type="dxa"/>
            <w:tcBorders>
              <w:top w:val="single" w:sz="12" w:space="0" w:color="000000"/>
              <w:left w:val="single" w:sz="8" w:space="0" w:color="FFFFFF"/>
              <w:bottom w:val="single" w:sz="12" w:space="0" w:color="000000"/>
            </w:tcBorders>
            <w:shd w:fill="auto" w:val="clear"/>
            <w:vAlign w:val="center"/>
          </w:tcPr>
          <w:p>
            <w:pPr>
              <w:pStyle w:val="LOnormal"/>
              <w:widowControl w:val="false"/>
              <w:spacing w:lineRule="auto" w:line="240"/>
              <w:jc w:val="center"/>
              <w:rPr>
                <w:b/>
                <w:b/>
                <w:i/>
                <w:i/>
              </w:rPr>
            </w:pPr>
            <w:r>
              <w:rPr>
                <w:rFonts w:ascii="arial" w:hAnsi="arial"/>
                <w:b/>
              </w:rPr>
              <w:t xml:space="preserve">Richness </w:t>
            </w:r>
            <w:r>
              <w:rPr>
                <w:rFonts w:ascii="arial" w:hAnsi="arial"/>
                <w:b/>
                <w:i/>
              </w:rPr>
              <w:t>Mmd</w:t>
            </w:r>
          </w:p>
        </w:tc>
        <w:tc>
          <w:tcPr>
            <w:tcW w:w="1345" w:type="dxa"/>
            <w:tcBorders>
              <w:top w:val="single" w:sz="12" w:space="0" w:color="000000"/>
              <w:left w:val="single" w:sz="8" w:space="0" w:color="FFFFFF"/>
              <w:bottom w:val="single" w:sz="12" w:space="0" w:color="000000"/>
            </w:tcBorders>
            <w:shd w:fill="auto" w:val="clear"/>
            <w:vAlign w:val="center"/>
          </w:tcPr>
          <w:p>
            <w:pPr>
              <w:pStyle w:val="LOnormal"/>
              <w:widowControl w:val="false"/>
              <w:spacing w:lineRule="auto" w:line="240"/>
              <w:jc w:val="center"/>
              <w:rPr>
                <w:b/>
                <w:b/>
              </w:rPr>
            </w:pPr>
            <w:r>
              <w:rPr>
                <w:rFonts w:ascii="arial" w:hAnsi="arial"/>
                <w:b/>
              </w:rPr>
              <w:t xml:space="preserve">Richness </w:t>
            </w:r>
            <w:r>
              <w:rPr>
                <w:rFonts w:ascii="arial" w:hAnsi="arial"/>
                <w:b/>
                <w:i/>
              </w:rPr>
              <w:t>Mmm</w:t>
            </w:r>
          </w:p>
        </w:tc>
        <w:tc>
          <w:tcPr>
            <w:tcW w:w="1713" w:type="dxa"/>
            <w:tcBorders>
              <w:top w:val="single" w:sz="12" w:space="0" w:color="000000"/>
              <w:left w:val="single" w:sz="8" w:space="0" w:color="FFFFFF"/>
              <w:bottom w:val="single" w:sz="12" w:space="0" w:color="000000"/>
              <w:right w:val="single" w:sz="2" w:space="0" w:color="FFFFFF"/>
            </w:tcBorders>
            <w:shd w:fill="auto" w:val="clear"/>
            <w:vAlign w:val="center"/>
          </w:tcPr>
          <w:p>
            <w:pPr>
              <w:pStyle w:val="LOnormal"/>
              <w:widowControl w:val="false"/>
              <w:spacing w:lineRule="auto" w:line="240"/>
              <w:jc w:val="center"/>
              <w:rPr>
                <w:b/>
                <w:b/>
              </w:rPr>
            </w:pPr>
            <w:r>
              <w:rPr>
                <w:rFonts w:ascii="arial" w:hAnsi="arial"/>
                <w:b/>
                <w:i/>
              </w:rPr>
              <w:t xml:space="preserve">padj - </w:t>
            </w:r>
            <w:r>
              <w:rPr>
                <w:rFonts w:ascii="arial" w:hAnsi="arial"/>
                <w:b/>
              </w:rPr>
              <w:t>value of hybrid effect</w:t>
            </w:r>
          </w:p>
        </w:tc>
      </w:tr>
      <w:tr>
        <w:trPr>
          <w:trHeight w:val="715" w:hRule="atLeast"/>
        </w:trPr>
        <w:tc>
          <w:tcPr>
            <w:tcW w:w="9186" w:type="dxa"/>
            <w:gridSpan w:val="6"/>
            <w:tcBorders>
              <w:top w:val="single" w:sz="12" w:space="0" w:color="000000"/>
              <w:left w:val="single" w:sz="8" w:space="0" w:color="FFFFFF"/>
              <w:bottom w:val="single" w:sz="12" w:space="0" w:color="000000"/>
              <w:right w:val="single" w:sz="2" w:space="0" w:color="FFFFFF"/>
            </w:tcBorders>
            <w:shd w:fill="CCCCCC" w:val="clear"/>
            <w:vAlign w:val="center"/>
          </w:tcPr>
          <w:p>
            <w:pPr>
              <w:pStyle w:val="LOnormal"/>
              <w:widowControl w:val="false"/>
              <w:spacing w:lineRule="auto" w:line="240"/>
              <w:jc w:val="center"/>
              <w:rPr>
                <w:b/>
                <w:b/>
                <w:i/>
                <w:i/>
              </w:rPr>
            </w:pPr>
            <w:r>
              <w:rPr>
                <w:rFonts w:ascii="arial" w:hAnsi="arial"/>
                <w:b/>
                <w:i/>
              </w:rPr>
              <w:t>Bacteria</w:t>
            </w:r>
          </w:p>
        </w:tc>
      </w:tr>
      <w:tr>
        <w:trPr>
          <w:trHeight w:val="715" w:hRule="atLeast"/>
        </w:trPr>
        <w:tc>
          <w:tcPr>
            <w:tcW w:w="1814"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 xml:space="preserve">Richness </w:t>
            </w:r>
          </w:p>
          <w:p>
            <w:pPr>
              <w:pStyle w:val="LOnormal"/>
              <w:widowControl w:val="false"/>
              <w:spacing w:lineRule="auto" w:line="240"/>
              <w:jc w:val="center"/>
              <w:rPr>
                <w:rFonts w:ascii="arial" w:hAnsi="arial"/>
              </w:rPr>
            </w:pPr>
            <w:r>
              <w:rPr>
                <w:rFonts w:ascii="arial" w:hAnsi="arial"/>
              </w:rPr>
              <w:t>(Chao1 index)</w:t>
            </w:r>
          </w:p>
        </w:tc>
        <w:tc>
          <w:tcPr>
            <w:tcW w:w="1878"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Parental subspecies</w:t>
            </w:r>
          </w:p>
        </w:tc>
        <w:tc>
          <w:tcPr>
            <w:tcW w:w="992"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0.115</w:t>
            </w:r>
          </w:p>
        </w:tc>
        <w:tc>
          <w:tcPr>
            <w:tcW w:w="1444"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37.51</w:t>
            </w:r>
          </w:p>
        </w:tc>
        <w:tc>
          <w:tcPr>
            <w:tcW w:w="1345"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33.49</w:t>
            </w:r>
          </w:p>
        </w:tc>
        <w:tc>
          <w:tcPr>
            <w:tcW w:w="1713" w:type="dxa"/>
            <w:tcBorders>
              <w:top w:val="single" w:sz="12" w:space="0" w:color="000000"/>
              <w:left w:val="single" w:sz="8" w:space="0" w:color="FFFFFF"/>
              <w:bottom w:val="single" w:sz="4" w:space="0" w:color="000000"/>
              <w:right w:val="single" w:sz="2" w:space="0" w:color="FFFFFF"/>
            </w:tcBorders>
            <w:shd w:fill="auto" w:val="clear"/>
            <w:vAlign w:val="center"/>
          </w:tcPr>
          <w:p>
            <w:pPr>
              <w:pStyle w:val="LOnormal"/>
              <w:widowControl w:val="false"/>
              <w:spacing w:lineRule="auto" w:line="240"/>
              <w:jc w:val="center"/>
              <w:rPr>
                <w:rFonts w:ascii="arial" w:hAnsi="arial"/>
              </w:rPr>
            </w:pPr>
            <w:r>
              <w:rPr>
                <w:rFonts w:ascii="arial" w:hAnsi="arial"/>
              </w:rPr>
              <w:t>0.301 NS</w:t>
            </w:r>
          </w:p>
        </w:tc>
      </w:tr>
      <w:tr>
        <w:trPr>
          <w:trHeight w:val="715" w:hRule="atLeast"/>
        </w:trPr>
        <w:tc>
          <w:tcPr>
            <w:tcW w:w="1814" w:type="dxa"/>
            <w:vMerge w:val="restart"/>
            <w:tcBorders>
              <w:top w:val="single" w:sz="4"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 xml:space="preserve">Richness </w:t>
            </w:r>
          </w:p>
          <w:p>
            <w:pPr>
              <w:pStyle w:val="LOnormal"/>
              <w:widowControl w:val="false"/>
              <w:spacing w:lineRule="auto" w:line="240"/>
              <w:jc w:val="center"/>
              <w:rPr>
                <w:rFonts w:ascii="arial" w:hAnsi="arial"/>
              </w:rPr>
            </w:pPr>
            <w:r>
              <w:rPr>
                <w:rFonts w:ascii="arial" w:hAnsi="arial"/>
              </w:rPr>
              <w:t>(Chao1 index)</w:t>
            </w:r>
          </w:p>
          <w:p>
            <w:pPr>
              <w:pStyle w:val="LOnormal"/>
              <w:widowControl w:val="false"/>
              <w:spacing w:lineRule="auto" w:line="240"/>
              <w:jc w:val="center"/>
              <w:rPr>
                <w:rFonts w:ascii="arial" w:hAnsi="arial"/>
              </w:rPr>
            </w:pPr>
            <w:r>
              <w:rPr>
                <w:rFonts w:ascii="arial" w:hAnsi="arial"/>
              </w:rPr>
            </w:r>
          </w:p>
        </w:tc>
        <w:tc>
          <w:tcPr>
            <w:tcW w:w="1878" w:type="dxa"/>
            <w:tcBorders>
              <w:top w:val="single" w:sz="4"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Parental subspecies and transect</w:t>
            </w:r>
          </w:p>
          <w:p>
            <w:pPr>
              <w:pStyle w:val="LOnormal"/>
              <w:widowControl w:val="false"/>
              <w:spacing w:lineRule="auto" w:line="240"/>
              <w:jc w:val="center"/>
              <w:rPr>
                <w:b/>
                <w:b/>
              </w:rPr>
            </w:pPr>
            <w:r>
              <w:rPr>
                <w:rFonts w:ascii="arial" w:hAnsi="arial"/>
                <w:b/>
              </w:rPr>
              <w:t xml:space="preserve">(Bavaria </w:t>
            </w:r>
            <w:r>
              <w:rPr>
                <w:rFonts w:ascii="arial" w:hAnsi="arial"/>
                <w:b/>
                <w:i/>
                <w:iCs/>
              </w:rPr>
              <w:t>N</w:t>
            </w:r>
            <w:r>
              <w:rPr>
                <w:rFonts w:ascii="arial" w:hAnsi="arial"/>
                <w:b/>
              </w:rPr>
              <w:t>=52)</w:t>
            </w:r>
          </w:p>
        </w:tc>
        <w:tc>
          <w:tcPr>
            <w:tcW w:w="992" w:type="dxa"/>
            <w:tcBorders>
              <w:top w:val="single" w:sz="4"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1.573</w:t>
            </w:r>
          </w:p>
        </w:tc>
        <w:tc>
          <w:tcPr>
            <w:tcW w:w="1444" w:type="dxa"/>
            <w:tcBorders>
              <w:top w:val="single" w:sz="4"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29.35</w:t>
            </w:r>
          </w:p>
        </w:tc>
        <w:tc>
          <w:tcPr>
            <w:tcW w:w="1345" w:type="dxa"/>
            <w:tcBorders>
              <w:top w:val="single" w:sz="4"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15.05</w:t>
            </w:r>
          </w:p>
        </w:tc>
        <w:tc>
          <w:tcPr>
            <w:tcW w:w="1713" w:type="dxa"/>
            <w:tcBorders>
              <w:top w:val="single" w:sz="4" w:space="0" w:color="000000"/>
              <w:left w:val="single" w:sz="8" w:space="0" w:color="FFFFFF"/>
              <w:bottom w:val="single" w:sz="4" w:space="0" w:color="000000"/>
              <w:right w:val="single" w:sz="2" w:space="0" w:color="FFFFFF"/>
            </w:tcBorders>
            <w:shd w:fill="auto" w:val="clear"/>
            <w:vAlign w:val="center"/>
          </w:tcPr>
          <w:p>
            <w:pPr>
              <w:pStyle w:val="LOnormal"/>
              <w:widowControl w:val="false"/>
              <w:spacing w:lineRule="auto" w:line="240"/>
              <w:jc w:val="center"/>
              <w:rPr>
                <w:rFonts w:ascii="arial" w:hAnsi="arial"/>
              </w:rPr>
            </w:pPr>
            <w:r>
              <w:rPr>
                <w:rFonts w:ascii="arial" w:hAnsi="arial"/>
              </w:rPr>
              <w:t>0.002 **</w:t>
            </w:r>
          </w:p>
        </w:tc>
      </w:tr>
      <w:tr>
        <w:trPr>
          <w:trHeight w:val="715" w:hRule="atLeast"/>
        </w:trPr>
        <w:tc>
          <w:tcPr>
            <w:tcW w:w="1814" w:type="dxa"/>
            <w:vMerge w:val="continue"/>
            <w:tcBorders>
              <w:top w:val="single" w:sz="4"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r>
          </w:p>
        </w:tc>
        <w:tc>
          <w:tcPr>
            <w:tcW w:w="1878" w:type="dxa"/>
            <w:tcBorders>
              <w:top w:val="single" w:sz="4"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Parental subspecies and transect</w:t>
            </w:r>
          </w:p>
          <w:p>
            <w:pPr>
              <w:pStyle w:val="LOnormal"/>
              <w:widowControl w:val="false"/>
              <w:spacing w:lineRule="auto" w:line="240"/>
              <w:jc w:val="center"/>
              <w:rPr>
                <w:b/>
                <w:b/>
              </w:rPr>
            </w:pPr>
            <w:r>
              <w:rPr>
                <w:rFonts w:ascii="arial" w:hAnsi="arial"/>
                <w:b/>
              </w:rPr>
              <w:t xml:space="preserve">(Brandenburg </w:t>
            </w:r>
            <w:r>
              <w:rPr>
                <w:rFonts w:ascii="arial" w:hAnsi="arial"/>
                <w:b/>
                <w:i/>
                <w:iCs/>
              </w:rPr>
              <w:t>N</w:t>
            </w:r>
            <w:r>
              <w:rPr>
                <w:rFonts w:ascii="arial" w:hAnsi="arial"/>
                <w:b/>
              </w:rPr>
              <w:t>= 441)</w:t>
            </w:r>
          </w:p>
        </w:tc>
        <w:tc>
          <w:tcPr>
            <w:tcW w:w="992" w:type="dxa"/>
            <w:tcBorders>
              <w:top w:val="single" w:sz="4"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0.097</w:t>
            </w:r>
          </w:p>
        </w:tc>
        <w:tc>
          <w:tcPr>
            <w:tcW w:w="1444" w:type="dxa"/>
            <w:tcBorders>
              <w:top w:val="single" w:sz="4"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37.73</w:t>
            </w:r>
          </w:p>
        </w:tc>
        <w:tc>
          <w:tcPr>
            <w:tcW w:w="1345" w:type="dxa"/>
            <w:tcBorders>
              <w:top w:val="single" w:sz="4"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34.42</w:t>
            </w:r>
          </w:p>
        </w:tc>
        <w:tc>
          <w:tcPr>
            <w:tcW w:w="1713" w:type="dxa"/>
            <w:tcBorders>
              <w:top w:val="single" w:sz="4" w:space="0" w:color="000000"/>
              <w:left w:val="single" w:sz="8" w:space="0" w:color="FFFFFF"/>
              <w:bottom w:val="single" w:sz="12" w:space="0" w:color="000000"/>
              <w:right w:val="single" w:sz="2" w:space="0" w:color="FFFFFF"/>
            </w:tcBorders>
            <w:shd w:fill="auto" w:val="clear"/>
            <w:vAlign w:val="center"/>
          </w:tcPr>
          <w:p>
            <w:pPr>
              <w:pStyle w:val="LOnormal"/>
              <w:widowControl w:val="false"/>
              <w:spacing w:lineRule="auto" w:line="240"/>
              <w:jc w:val="center"/>
              <w:rPr>
                <w:rFonts w:ascii="arial" w:hAnsi="arial"/>
              </w:rPr>
            </w:pPr>
            <w:r>
              <w:rPr>
                <w:rFonts w:ascii="arial" w:hAnsi="arial"/>
              </w:rPr>
              <w:t>0.398 NS</w:t>
            </w:r>
          </w:p>
        </w:tc>
      </w:tr>
      <w:tr>
        <w:trPr>
          <w:trHeight w:val="715" w:hRule="atLeast"/>
        </w:trPr>
        <w:tc>
          <w:tcPr>
            <w:tcW w:w="9186" w:type="dxa"/>
            <w:gridSpan w:val="6"/>
            <w:tcBorders>
              <w:top w:val="single" w:sz="12" w:space="0" w:color="000000"/>
              <w:left w:val="single" w:sz="8" w:space="0" w:color="FFFFFF"/>
              <w:bottom w:val="single" w:sz="12" w:space="0" w:color="000000"/>
              <w:right w:val="single" w:sz="2" w:space="0" w:color="FFFFFF"/>
            </w:tcBorders>
            <w:shd w:fill="CCCCCC" w:val="clear"/>
            <w:vAlign w:val="center"/>
          </w:tcPr>
          <w:p>
            <w:pPr>
              <w:pStyle w:val="LOnormal"/>
              <w:widowControl w:val="false"/>
              <w:spacing w:lineRule="auto" w:line="240"/>
              <w:jc w:val="center"/>
              <w:rPr>
                <w:b/>
                <w:b/>
                <w:i/>
                <w:i/>
              </w:rPr>
            </w:pPr>
            <w:r>
              <w:rPr>
                <w:rFonts w:ascii="arial" w:hAnsi="arial"/>
                <w:b/>
                <w:i/>
              </w:rPr>
              <w:t>Antimicrobial resistance genes (ARG)</w:t>
            </w:r>
          </w:p>
        </w:tc>
      </w:tr>
      <w:tr>
        <w:trPr>
          <w:trHeight w:val="715" w:hRule="atLeast"/>
        </w:trPr>
        <w:tc>
          <w:tcPr>
            <w:tcW w:w="1814"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Richness (Chao1 index)</w:t>
            </w:r>
          </w:p>
        </w:tc>
        <w:tc>
          <w:tcPr>
            <w:tcW w:w="1878"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Parental subspecies</w:t>
            </w:r>
          </w:p>
        </w:tc>
        <w:tc>
          <w:tcPr>
            <w:tcW w:w="992"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0.371</w:t>
            </w:r>
          </w:p>
        </w:tc>
        <w:tc>
          <w:tcPr>
            <w:tcW w:w="1444"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30.23</w:t>
            </w:r>
          </w:p>
        </w:tc>
        <w:tc>
          <w:tcPr>
            <w:tcW w:w="1345"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26.75</w:t>
            </w:r>
          </w:p>
        </w:tc>
        <w:tc>
          <w:tcPr>
            <w:tcW w:w="1713" w:type="dxa"/>
            <w:tcBorders>
              <w:top w:val="single" w:sz="12" w:space="0" w:color="000000"/>
              <w:left w:val="single" w:sz="8" w:space="0" w:color="FFFFFF"/>
              <w:bottom w:val="single" w:sz="4" w:space="0" w:color="000000"/>
              <w:right w:val="single" w:sz="2" w:space="0" w:color="FFFFFF"/>
            </w:tcBorders>
            <w:shd w:fill="auto" w:val="clear"/>
            <w:vAlign w:val="center"/>
          </w:tcPr>
          <w:p>
            <w:pPr>
              <w:pStyle w:val="LOnormal"/>
              <w:widowControl w:val="false"/>
              <w:spacing w:lineRule="auto" w:line="240"/>
              <w:jc w:val="center"/>
              <w:rPr>
                <w:rFonts w:ascii="arial" w:hAnsi="arial"/>
              </w:rPr>
            </w:pPr>
            <w:r>
              <w:rPr>
                <w:rFonts w:ascii="arial" w:hAnsi="arial"/>
              </w:rPr>
              <w:t>0.002 **</w:t>
            </w:r>
          </w:p>
        </w:tc>
      </w:tr>
      <w:tr>
        <w:trPr>
          <w:trHeight w:val="715" w:hRule="atLeast"/>
        </w:trPr>
        <w:tc>
          <w:tcPr>
            <w:tcW w:w="1814" w:type="dxa"/>
            <w:vMerge w:val="restart"/>
            <w:tcBorders>
              <w:top w:val="single" w:sz="4" w:space="0" w:color="000000"/>
              <w:left w:val="single" w:sz="8" w:space="0" w:color="FFFFFF"/>
              <w:bottom w:val="single" w:sz="8" w:space="0" w:color="000000"/>
            </w:tcBorders>
            <w:shd w:fill="auto" w:val="clear"/>
            <w:vAlign w:val="center"/>
          </w:tcPr>
          <w:p>
            <w:pPr>
              <w:pStyle w:val="LOnormal"/>
              <w:widowControl w:val="false"/>
              <w:spacing w:lineRule="auto" w:line="240"/>
              <w:jc w:val="center"/>
              <w:rPr>
                <w:rFonts w:ascii="arial" w:hAnsi="arial"/>
              </w:rPr>
            </w:pPr>
            <w:r>
              <w:rPr>
                <w:rFonts w:ascii="arial" w:hAnsi="arial"/>
              </w:rPr>
              <w:t>Richness (Chao1 index)</w:t>
            </w:r>
          </w:p>
        </w:tc>
        <w:tc>
          <w:tcPr>
            <w:tcW w:w="1878" w:type="dxa"/>
            <w:tcBorders>
              <w:top w:val="single" w:sz="4" w:space="0" w:color="000000"/>
              <w:left w:val="single" w:sz="8" w:space="0" w:color="FFFFFF"/>
              <w:bottom w:val="single" w:sz="8" w:space="0" w:color="000000"/>
            </w:tcBorders>
            <w:shd w:fill="auto" w:val="clear"/>
            <w:vAlign w:val="center"/>
          </w:tcPr>
          <w:p>
            <w:pPr>
              <w:pStyle w:val="LOnormal"/>
              <w:widowControl w:val="false"/>
              <w:spacing w:lineRule="auto" w:line="240"/>
              <w:jc w:val="center"/>
              <w:rPr>
                <w:rFonts w:ascii="arial" w:hAnsi="arial"/>
              </w:rPr>
            </w:pPr>
            <w:r>
              <w:rPr>
                <w:rFonts w:ascii="arial" w:hAnsi="arial"/>
              </w:rPr>
              <w:t>Parental subspecies and transect</w:t>
            </w:r>
          </w:p>
          <w:p>
            <w:pPr>
              <w:pStyle w:val="LOnormal"/>
              <w:widowControl w:val="false"/>
              <w:spacing w:lineRule="auto" w:line="240"/>
              <w:jc w:val="center"/>
              <w:rPr>
                <w:rFonts w:ascii="arial" w:hAnsi="arial"/>
              </w:rPr>
            </w:pPr>
            <w:r>
              <w:rPr>
                <w:rFonts w:ascii="arial" w:hAnsi="arial"/>
                <w:b/>
              </w:rPr>
              <w:t xml:space="preserve">(Bavaria </w:t>
            </w:r>
            <w:r>
              <w:rPr>
                <w:rFonts w:ascii="arial" w:hAnsi="arial"/>
                <w:b/>
                <w:i/>
                <w:iCs/>
              </w:rPr>
              <w:t>N</w:t>
            </w:r>
            <w:r>
              <w:rPr>
                <w:rFonts w:ascii="arial" w:hAnsi="arial"/>
                <w:b/>
              </w:rPr>
              <w:t>=52)</w:t>
            </w:r>
          </w:p>
        </w:tc>
        <w:tc>
          <w:tcPr>
            <w:tcW w:w="992" w:type="dxa"/>
            <w:tcBorders>
              <w:top w:val="single" w:sz="4" w:space="0" w:color="000000"/>
              <w:left w:val="single" w:sz="8" w:space="0" w:color="FFFFFF"/>
              <w:bottom w:val="single" w:sz="8" w:space="0" w:color="000000"/>
            </w:tcBorders>
            <w:shd w:fill="auto" w:val="clear"/>
            <w:vAlign w:val="center"/>
          </w:tcPr>
          <w:p>
            <w:pPr>
              <w:pStyle w:val="LOnormal"/>
              <w:widowControl w:val="false"/>
              <w:spacing w:lineRule="auto" w:line="240"/>
              <w:jc w:val="center"/>
              <w:rPr>
                <w:rFonts w:ascii="arial" w:hAnsi="arial"/>
              </w:rPr>
            </w:pPr>
            <w:r>
              <w:rPr>
                <w:rFonts w:ascii="arial" w:hAnsi="arial"/>
              </w:rPr>
              <w:t>1.12</w:t>
            </w:r>
          </w:p>
        </w:tc>
        <w:tc>
          <w:tcPr>
            <w:tcW w:w="1444" w:type="dxa"/>
            <w:tcBorders>
              <w:top w:val="single" w:sz="4" w:space="0" w:color="000000"/>
              <w:left w:val="single" w:sz="8" w:space="0" w:color="FFFFFF"/>
              <w:bottom w:val="single" w:sz="8" w:space="0" w:color="000000"/>
            </w:tcBorders>
            <w:shd w:fill="auto" w:val="clear"/>
            <w:vAlign w:val="center"/>
          </w:tcPr>
          <w:p>
            <w:pPr>
              <w:pStyle w:val="LOnormal"/>
              <w:widowControl w:val="false"/>
              <w:spacing w:lineRule="auto" w:line="240"/>
              <w:jc w:val="center"/>
              <w:rPr>
                <w:rFonts w:ascii="arial" w:hAnsi="arial"/>
              </w:rPr>
            </w:pPr>
            <w:r>
              <w:rPr>
                <w:rFonts w:ascii="arial" w:hAnsi="arial"/>
              </w:rPr>
              <w:t>25.28</w:t>
            </w:r>
          </w:p>
        </w:tc>
        <w:tc>
          <w:tcPr>
            <w:tcW w:w="1345" w:type="dxa"/>
            <w:tcBorders>
              <w:top w:val="single" w:sz="4" w:space="0" w:color="000000"/>
              <w:left w:val="single" w:sz="8" w:space="0" w:color="FFFFFF"/>
              <w:bottom w:val="single" w:sz="8" w:space="0" w:color="000000"/>
            </w:tcBorders>
            <w:shd w:fill="auto" w:val="clear"/>
            <w:vAlign w:val="center"/>
          </w:tcPr>
          <w:p>
            <w:pPr>
              <w:pStyle w:val="LOnormal"/>
              <w:widowControl w:val="false"/>
              <w:spacing w:lineRule="auto" w:line="240"/>
              <w:jc w:val="center"/>
              <w:rPr>
                <w:rFonts w:ascii="arial" w:hAnsi="arial"/>
              </w:rPr>
            </w:pPr>
            <w:r>
              <w:rPr>
                <w:rFonts w:ascii="arial" w:hAnsi="arial"/>
              </w:rPr>
              <w:t>20.13</w:t>
            </w:r>
          </w:p>
        </w:tc>
        <w:tc>
          <w:tcPr>
            <w:tcW w:w="1713" w:type="dxa"/>
            <w:tcBorders>
              <w:top w:val="single" w:sz="4" w:space="0" w:color="000000"/>
              <w:left w:val="single" w:sz="8" w:space="0" w:color="FFFFFF"/>
              <w:bottom w:val="single" w:sz="8" w:space="0" w:color="000000"/>
              <w:right w:val="single" w:sz="2" w:space="0" w:color="FFFFFF"/>
            </w:tcBorders>
            <w:shd w:fill="auto" w:val="clear"/>
            <w:vAlign w:val="center"/>
          </w:tcPr>
          <w:p>
            <w:pPr>
              <w:pStyle w:val="LOnormal"/>
              <w:widowControl w:val="false"/>
              <w:spacing w:lineRule="auto" w:line="240"/>
              <w:jc w:val="center"/>
              <w:rPr>
                <w:rFonts w:ascii="arial" w:hAnsi="arial"/>
              </w:rPr>
            </w:pPr>
            <w:r>
              <w:rPr>
                <w:rFonts w:ascii="arial" w:hAnsi="arial"/>
              </w:rPr>
              <w:t>0.019 *</w:t>
            </w:r>
          </w:p>
        </w:tc>
      </w:tr>
      <w:tr>
        <w:trPr>
          <w:trHeight w:val="715" w:hRule="atLeast"/>
        </w:trPr>
        <w:tc>
          <w:tcPr>
            <w:tcW w:w="1814" w:type="dxa"/>
            <w:vMerge w:val="continue"/>
            <w:tcBorders>
              <w:top w:val="single" w:sz="8"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r>
          </w:p>
        </w:tc>
        <w:tc>
          <w:tcPr>
            <w:tcW w:w="1878" w:type="dxa"/>
            <w:tcBorders>
              <w:top w:val="single" w:sz="8"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Parental subspecies and transect</w:t>
            </w:r>
          </w:p>
          <w:p>
            <w:pPr>
              <w:pStyle w:val="LOnormal"/>
              <w:widowControl w:val="false"/>
              <w:spacing w:lineRule="auto" w:line="240"/>
              <w:jc w:val="center"/>
              <w:rPr>
                <w:rFonts w:ascii="arial" w:hAnsi="arial"/>
              </w:rPr>
            </w:pPr>
            <w:r>
              <w:rPr>
                <w:rFonts w:ascii="arial" w:hAnsi="arial"/>
                <w:b/>
              </w:rPr>
              <w:t xml:space="preserve">(Brandenburg </w:t>
            </w:r>
            <w:r>
              <w:rPr>
                <w:rFonts w:ascii="arial" w:hAnsi="arial"/>
                <w:b/>
                <w:i/>
                <w:iCs/>
              </w:rPr>
              <w:t>N</w:t>
            </w:r>
            <w:r>
              <w:rPr>
                <w:rFonts w:ascii="arial" w:hAnsi="arial"/>
                <w:b/>
              </w:rPr>
              <w:t>= 441)</w:t>
            </w:r>
          </w:p>
        </w:tc>
        <w:tc>
          <w:tcPr>
            <w:tcW w:w="992" w:type="dxa"/>
            <w:tcBorders>
              <w:top w:val="single" w:sz="8"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0.331</w:t>
            </w:r>
          </w:p>
        </w:tc>
        <w:tc>
          <w:tcPr>
            <w:tcW w:w="1444" w:type="dxa"/>
            <w:tcBorders>
              <w:top w:val="single" w:sz="8"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30.51</w:t>
            </w:r>
          </w:p>
        </w:tc>
        <w:tc>
          <w:tcPr>
            <w:tcW w:w="1345" w:type="dxa"/>
            <w:tcBorders>
              <w:top w:val="single" w:sz="8"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27.16</w:t>
            </w:r>
          </w:p>
        </w:tc>
        <w:tc>
          <w:tcPr>
            <w:tcW w:w="1713" w:type="dxa"/>
            <w:tcBorders>
              <w:top w:val="single" w:sz="8" w:space="0" w:color="000000"/>
              <w:left w:val="single" w:sz="8" w:space="0" w:color="FFFFFF"/>
              <w:bottom w:val="single" w:sz="12" w:space="0" w:color="000000"/>
              <w:right w:val="single" w:sz="2" w:space="0" w:color="FFFFFF"/>
            </w:tcBorders>
            <w:shd w:fill="auto" w:val="clear"/>
            <w:vAlign w:val="center"/>
          </w:tcPr>
          <w:p>
            <w:pPr>
              <w:pStyle w:val="LOnormal"/>
              <w:widowControl w:val="false"/>
              <w:spacing w:lineRule="auto" w:line="240"/>
              <w:jc w:val="center"/>
              <w:rPr>
                <w:rFonts w:ascii="arial" w:hAnsi="arial"/>
              </w:rPr>
            </w:pPr>
            <w:r>
              <w:rPr>
                <w:rFonts w:ascii="arial" w:hAnsi="arial"/>
              </w:rPr>
              <w:t>0.007 **</w:t>
            </w:r>
          </w:p>
        </w:tc>
      </w:tr>
    </w:tbl>
    <w:p>
      <w:pPr>
        <w:pStyle w:val="LOnormal"/>
        <w:shd w:val="clear" w:fill="FFFFFF"/>
        <w:spacing w:lineRule="auto" w:line="276"/>
        <w:jc w:val="both"/>
        <w:rPr>
          <w:rFonts w:ascii="arial" w:hAnsi="arial"/>
          <w:b/>
          <w:b/>
        </w:rPr>
      </w:pPr>
      <w:r>
        <w:rPr>
          <w:rFonts w:ascii="arial" w:hAnsi="arial"/>
          <w:b/>
          <w:i/>
          <w:iCs/>
        </w:rPr>
        <w:t>N</w:t>
      </w:r>
      <w:r>
        <w:rPr>
          <w:rFonts w:ascii="arial" w:hAnsi="arial"/>
          <w:b/>
        </w:rPr>
        <w:t>= Number of localities per transect</w:t>
      </w:r>
    </w:p>
    <w:p>
      <w:pPr>
        <w:pStyle w:val="LOnormal"/>
        <w:shd w:val="clear" w:fill="FFFFFF"/>
        <w:spacing w:lineRule="auto" w:line="276"/>
        <w:jc w:val="both"/>
        <w:rPr>
          <w:rFonts w:ascii="arial" w:hAnsi="arial"/>
          <w:b/>
          <w:b/>
        </w:rPr>
      </w:pPr>
      <w:r>
        <w:rPr>
          <w:rFonts w:ascii="arial" w:hAnsi="arial"/>
          <w:b/>
        </w:rPr>
      </w:r>
    </w:p>
    <w:p>
      <w:pPr>
        <w:pStyle w:val="LOnormal"/>
        <w:shd w:val="clear" w:fill="FFFFFF"/>
        <w:spacing w:lineRule="auto" w:line="276"/>
        <w:jc w:val="both"/>
        <w:rPr>
          <w:rFonts w:ascii="arial" w:hAnsi="arial"/>
          <w:b/>
          <w:b/>
        </w:rPr>
      </w:pPr>
      <w:r>
        <w:rPr>
          <w:rFonts w:ascii="arial" w:hAnsi="arial"/>
          <w:b/>
        </w:rPr>
      </w:r>
    </w:p>
    <w:p>
      <w:pPr>
        <w:pStyle w:val="LOnormal"/>
        <w:shd w:val="clear" w:fill="FFFFFF"/>
        <w:spacing w:lineRule="auto" w:line="276"/>
        <w:jc w:val="both"/>
        <w:rPr>
          <w:rFonts w:ascii="arial" w:hAnsi="arial"/>
          <w:b/>
          <w:b/>
        </w:rPr>
      </w:pPr>
      <w:r>
        <w:rPr>
          <w:rFonts w:ascii="arial" w:hAnsi="arial"/>
          <w:b/>
        </w:rPr>
      </w:r>
    </w:p>
    <w:p>
      <w:pPr>
        <w:pStyle w:val="LOnormal"/>
        <w:shd w:val="clear" w:fill="FFFFFF"/>
        <w:spacing w:lineRule="auto" w:line="276"/>
        <w:jc w:val="both"/>
        <w:rPr>
          <w:rFonts w:ascii="arial" w:hAnsi="arial"/>
          <w:b/>
          <w:b/>
        </w:rPr>
      </w:pPr>
      <w:r>
        <w:rPr/>
      </w:r>
    </w:p>
    <w:p>
      <w:pPr>
        <w:pStyle w:val="LOnormal"/>
        <w:jc w:val="both"/>
        <w:rPr/>
      </w:pPr>
      <w:r>
        <w:rPr>
          <w:rFonts w:ascii="arial" w:hAnsi="arial"/>
          <w:b/>
        </w:rPr>
        <w:t xml:space="preserve">Supplement table </w:t>
      </w:r>
      <w:r>
        <w:rPr>
          <w:rFonts w:eastAsia="Noto Serif CJK SC" w:cs="Lohit Devanagari" w:ascii="arial" w:hAnsi="arial"/>
          <w:b/>
          <w:color w:val="000000"/>
          <w:kern w:val="2"/>
          <w:sz w:val="24"/>
          <w:szCs w:val="24"/>
          <w:lang w:val="en-US" w:eastAsia="zh-CN" w:bidi="hi-IN"/>
        </w:rPr>
        <w:t>4.2</w:t>
      </w:r>
      <w:r>
        <w:rPr>
          <w:rFonts w:ascii="arial" w:hAnsi="arial"/>
          <w:b/>
        </w:rPr>
        <w:t>.</w:t>
      </w:r>
      <w:r>
        <w:rPr>
          <w:rFonts w:ascii="arial" w:hAnsi="arial"/>
          <w:b/>
          <w:sz w:val="22"/>
          <w:szCs w:val="22"/>
        </w:rPr>
        <w:t xml:space="preserve"> </w:t>
      </w:r>
      <w:r>
        <w:rPr>
          <w:rFonts w:ascii="arial" w:hAnsi="arial"/>
          <w:b/>
          <w:sz w:val="24"/>
          <w:szCs w:val="24"/>
        </w:rPr>
        <w:t xml:space="preserve">Transgressive phenotypes estimated by maximum likelihood for observed ARG and bacteria. 𝛼 represents the magnitude of the effect of hybridisation. </w:t>
      </w:r>
      <w:r>
        <w:rPr>
          <w:rFonts w:eastAsia="Noto Serif CJK SC" w:cs="Lohit Devanagari" w:ascii="arial" w:hAnsi="arial"/>
          <w:b/>
          <w:i w:val="false"/>
          <w:caps w:val="false"/>
          <w:smallCaps w:val="false"/>
          <w:strike w:val="false"/>
          <w:dstrike w:val="false"/>
          <w:color w:val="0E101A"/>
          <w:kern w:val="2"/>
          <w:sz w:val="24"/>
          <w:szCs w:val="24"/>
          <w:u w:val="none"/>
          <w:effect w:val="none"/>
          <w:lang w:val="en-US" w:eastAsia="zh-CN" w:bidi="hi-IN"/>
        </w:rPr>
        <w:t>M</w:t>
      </w:r>
      <w:r>
        <w:rPr>
          <w:rFonts w:ascii="arial" w:hAnsi="arial"/>
          <w:b/>
          <w:i w:val="false"/>
          <w:caps w:val="false"/>
          <w:smallCaps w:val="false"/>
          <w:strike w:val="false"/>
          <w:dstrike w:val="false"/>
          <w:color w:val="0E101A"/>
          <w:sz w:val="24"/>
          <w:szCs w:val="24"/>
          <w:u w:val="none"/>
          <w:effect w:val="none"/>
        </w:rPr>
        <w:t>odels including or excluding parental subspecies (</w:t>
      </w:r>
      <w:r>
        <w:rPr>
          <w:rFonts w:ascii="arial" w:hAnsi="arial"/>
          <w:b/>
          <w:i/>
          <w:iCs/>
          <w:caps w:val="false"/>
          <w:smallCaps w:val="false"/>
          <w:strike w:val="false"/>
          <w:dstrike w:val="false"/>
          <w:color w:val="0E101A"/>
          <w:sz w:val="24"/>
          <w:szCs w:val="24"/>
          <w:u w:val="none"/>
          <w:effect w:val="none"/>
        </w:rPr>
        <w:t>Mmd</w:t>
      </w:r>
      <w:r>
        <w:rPr>
          <w:rFonts w:ascii="arial" w:hAnsi="arial"/>
          <w:b/>
          <w:i w:val="false"/>
          <w:caps w:val="false"/>
          <w:smallCaps w:val="false"/>
          <w:strike w:val="false"/>
          <w:dstrike w:val="false"/>
          <w:color w:val="0E101A"/>
          <w:sz w:val="24"/>
          <w:szCs w:val="24"/>
          <w:u w:val="none"/>
          <w:effect w:val="none"/>
        </w:rPr>
        <w:t xml:space="preserve"> and </w:t>
      </w:r>
      <w:r>
        <w:rPr>
          <w:rFonts w:ascii="arial" w:hAnsi="arial"/>
          <w:b/>
          <w:i/>
          <w:iCs/>
          <w:caps w:val="false"/>
          <w:smallCaps w:val="false"/>
          <w:strike w:val="false"/>
          <w:dstrike w:val="false"/>
          <w:color w:val="0E101A"/>
          <w:sz w:val="24"/>
          <w:szCs w:val="24"/>
          <w:u w:val="none"/>
          <w:effect w:val="none"/>
        </w:rPr>
        <w:t>Mmm</w:t>
      </w:r>
      <w:r>
        <w:rPr>
          <w:rFonts w:ascii="arial" w:hAnsi="arial"/>
          <w:b/>
          <w:i w:val="false"/>
          <w:caps w:val="false"/>
          <w:smallCaps w:val="false"/>
          <w:strike w:val="false"/>
          <w:dstrike w:val="false"/>
          <w:color w:val="0E101A"/>
          <w:sz w:val="24"/>
          <w:szCs w:val="24"/>
          <w:u w:val="none"/>
          <w:effect w:val="none"/>
        </w:rPr>
        <w:t>) and the two transect (Brandenburg and Bavaria) as predictors using likelihood-ratio tests and considered a pred</w:t>
      </w:r>
      <w:r>
        <w:rPr>
          <w:rFonts w:eastAsia="Noto Serif CJK SC" w:cs="Lohit Devanagari" w:ascii="arial" w:hAnsi="arial"/>
          <w:b/>
          <w:i w:val="false"/>
          <w:caps w:val="false"/>
          <w:smallCaps w:val="false"/>
          <w:strike w:val="false"/>
          <w:dstrike w:val="false"/>
          <w:color w:val="0E101A"/>
          <w:kern w:val="2"/>
          <w:sz w:val="24"/>
          <w:szCs w:val="24"/>
          <w:u w:val="none"/>
          <w:effect w:val="none"/>
          <w:lang w:val="en-US" w:eastAsia="zh-CN" w:bidi="hi-IN"/>
        </w:rPr>
        <w:t>ictor</w:t>
      </w:r>
      <w:r>
        <w:rPr>
          <w:rFonts w:ascii="arial" w:hAnsi="arial"/>
          <w:b/>
          <w:i w:val="false"/>
          <w:caps w:val="false"/>
          <w:smallCaps w:val="false"/>
          <w:strike w:val="false"/>
          <w:dstrike w:val="false"/>
          <w:color w:val="0E101A"/>
          <w:sz w:val="24"/>
          <w:szCs w:val="24"/>
          <w:u w:val="none"/>
          <w:effect w:val="none"/>
        </w:rPr>
        <w:t xml:space="preserve"> significant only in case of a significant increase in model likelihood</w:t>
      </w:r>
      <w:r>
        <w:rPr>
          <w:rFonts w:ascii="arial" w:hAnsi="arial"/>
          <w:b/>
          <w:i w:val="false"/>
          <w:caps w:val="false"/>
          <w:smallCaps w:val="false"/>
          <w:strike w:val="false"/>
          <w:dstrike w:val="false"/>
          <w:color w:val="0E101A"/>
          <w:sz w:val="22"/>
          <w:szCs w:val="22"/>
          <w:u w:val="none"/>
          <w:effect w:val="none"/>
        </w:rPr>
        <w:t xml:space="preserve"> </w:t>
      </w:r>
    </w:p>
    <w:tbl>
      <w:tblPr>
        <w:tblStyle w:val="Table2"/>
        <w:tblW w:w="9187" w:type="dxa"/>
        <w:jc w:val="left"/>
        <w:tblInd w:w="417" w:type="dxa"/>
        <w:tblCellMar>
          <w:top w:w="100" w:type="dxa"/>
          <w:left w:w="100" w:type="dxa"/>
          <w:bottom w:w="100" w:type="dxa"/>
          <w:right w:w="100" w:type="dxa"/>
        </w:tblCellMar>
        <w:tblLook w:val="0600"/>
      </w:tblPr>
      <w:tblGrid>
        <w:gridCol w:w="1814"/>
        <w:gridCol w:w="1878"/>
        <w:gridCol w:w="992"/>
        <w:gridCol w:w="1444"/>
        <w:gridCol w:w="1345"/>
        <w:gridCol w:w="1713"/>
      </w:tblGrid>
      <w:tr>
        <w:trPr>
          <w:trHeight w:val="715" w:hRule="atLeast"/>
        </w:trPr>
        <w:tc>
          <w:tcPr>
            <w:tcW w:w="1814" w:type="dxa"/>
            <w:tcBorders>
              <w:top w:val="single" w:sz="12" w:space="0" w:color="000000"/>
              <w:left w:val="single" w:sz="8" w:space="0" w:color="FFFFFF"/>
              <w:bottom w:val="single" w:sz="12" w:space="0" w:color="000000"/>
            </w:tcBorders>
            <w:shd w:fill="auto" w:val="clear"/>
            <w:vAlign w:val="center"/>
          </w:tcPr>
          <w:p>
            <w:pPr>
              <w:pStyle w:val="LOnormal"/>
              <w:widowControl w:val="false"/>
              <w:spacing w:lineRule="auto" w:line="240"/>
              <w:jc w:val="center"/>
              <w:rPr>
                <w:b/>
                <w:b/>
              </w:rPr>
            </w:pPr>
            <w:r>
              <w:rPr>
                <w:rFonts w:ascii="arial" w:hAnsi="arial"/>
                <w:b/>
              </w:rPr>
              <w:t>Response</w:t>
            </w:r>
          </w:p>
        </w:tc>
        <w:tc>
          <w:tcPr>
            <w:tcW w:w="1878" w:type="dxa"/>
            <w:tcBorders>
              <w:top w:val="single" w:sz="12" w:space="0" w:color="000000"/>
              <w:left w:val="single" w:sz="8" w:space="0" w:color="FFFFFF"/>
              <w:bottom w:val="single" w:sz="12" w:space="0" w:color="000000"/>
            </w:tcBorders>
            <w:shd w:fill="auto" w:val="clear"/>
            <w:vAlign w:val="center"/>
          </w:tcPr>
          <w:p>
            <w:pPr>
              <w:pStyle w:val="LOnormal"/>
              <w:widowControl w:val="false"/>
              <w:spacing w:lineRule="auto" w:line="240"/>
              <w:jc w:val="center"/>
              <w:rPr>
                <w:b/>
                <w:b/>
              </w:rPr>
            </w:pPr>
            <w:r>
              <w:rPr>
                <w:rFonts w:ascii="arial" w:hAnsi="arial"/>
                <w:b/>
              </w:rPr>
              <w:t>Predictors</w:t>
            </w:r>
          </w:p>
        </w:tc>
        <w:tc>
          <w:tcPr>
            <w:tcW w:w="992" w:type="dxa"/>
            <w:tcBorders>
              <w:top w:val="single" w:sz="12" w:space="0" w:color="000000"/>
              <w:left w:val="single" w:sz="8" w:space="0" w:color="FFFFFF"/>
              <w:bottom w:val="single" w:sz="12" w:space="0" w:color="000000"/>
            </w:tcBorders>
            <w:shd w:fill="auto" w:val="clear"/>
            <w:vAlign w:val="center"/>
          </w:tcPr>
          <w:p>
            <w:pPr>
              <w:pStyle w:val="LOnormal"/>
              <w:jc w:val="center"/>
              <w:rPr>
                <w:b/>
                <w:b/>
              </w:rPr>
            </w:pPr>
            <w:r>
              <w:rPr>
                <w:rFonts w:ascii="arial" w:hAnsi="arial"/>
                <w:b/>
              </w:rPr>
              <w:t>𝛼</w:t>
            </w:r>
          </w:p>
          <w:p>
            <w:pPr>
              <w:pStyle w:val="LOnormal"/>
              <w:jc w:val="center"/>
              <w:rPr>
                <w:b/>
                <w:b/>
              </w:rPr>
            </w:pPr>
            <w:r>
              <w:rPr>
                <w:rFonts w:ascii="arial" w:hAnsi="arial"/>
                <w:b/>
              </w:rPr>
              <w:t>Hybrid effect</w:t>
            </w:r>
          </w:p>
        </w:tc>
        <w:tc>
          <w:tcPr>
            <w:tcW w:w="1444" w:type="dxa"/>
            <w:tcBorders>
              <w:top w:val="single" w:sz="12" w:space="0" w:color="000000"/>
              <w:left w:val="single" w:sz="8" w:space="0" w:color="FFFFFF"/>
              <w:bottom w:val="single" w:sz="12" w:space="0" w:color="000000"/>
            </w:tcBorders>
            <w:shd w:fill="auto" w:val="clear"/>
            <w:vAlign w:val="center"/>
          </w:tcPr>
          <w:p>
            <w:pPr>
              <w:pStyle w:val="LOnormal"/>
              <w:widowControl w:val="false"/>
              <w:spacing w:lineRule="auto" w:line="240"/>
              <w:jc w:val="center"/>
              <w:rPr>
                <w:b/>
                <w:b/>
                <w:i/>
                <w:i/>
              </w:rPr>
            </w:pPr>
            <w:r>
              <w:rPr>
                <w:rFonts w:ascii="arial" w:hAnsi="arial"/>
                <w:b/>
              </w:rPr>
              <w:t xml:space="preserve">Richness </w:t>
            </w:r>
            <w:r>
              <w:rPr>
                <w:rFonts w:ascii="arial" w:hAnsi="arial"/>
                <w:b/>
                <w:i/>
              </w:rPr>
              <w:t>Mmd</w:t>
            </w:r>
          </w:p>
        </w:tc>
        <w:tc>
          <w:tcPr>
            <w:tcW w:w="1345" w:type="dxa"/>
            <w:tcBorders>
              <w:top w:val="single" w:sz="12" w:space="0" w:color="000000"/>
              <w:left w:val="single" w:sz="8" w:space="0" w:color="FFFFFF"/>
              <w:bottom w:val="single" w:sz="12" w:space="0" w:color="000000"/>
            </w:tcBorders>
            <w:shd w:fill="auto" w:val="clear"/>
            <w:vAlign w:val="center"/>
          </w:tcPr>
          <w:p>
            <w:pPr>
              <w:pStyle w:val="LOnormal"/>
              <w:widowControl w:val="false"/>
              <w:spacing w:lineRule="auto" w:line="240"/>
              <w:jc w:val="center"/>
              <w:rPr>
                <w:b/>
                <w:b/>
              </w:rPr>
            </w:pPr>
            <w:r>
              <w:rPr>
                <w:rFonts w:ascii="arial" w:hAnsi="arial"/>
                <w:b/>
              </w:rPr>
              <w:t xml:space="preserve">Richness </w:t>
            </w:r>
            <w:r>
              <w:rPr>
                <w:rFonts w:ascii="arial" w:hAnsi="arial"/>
                <w:b/>
                <w:i/>
              </w:rPr>
              <w:t>Mmm</w:t>
            </w:r>
          </w:p>
        </w:tc>
        <w:tc>
          <w:tcPr>
            <w:tcW w:w="1713" w:type="dxa"/>
            <w:tcBorders>
              <w:top w:val="single" w:sz="12" w:space="0" w:color="000000"/>
              <w:left w:val="single" w:sz="8" w:space="0" w:color="FFFFFF"/>
              <w:bottom w:val="single" w:sz="12" w:space="0" w:color="000000"/>
              <w:right w:val="single" w:sz="2" w:space="0" w:color="FFFFFF"/>
            </w:tcBorders>
            <w:shd w:fill="auto" w:val="clear"/>
            <w:vAlign w:val="center"/>
          </w:tcPr>
          <w:p>
            <w:pPr>
              <w:pStyle w:val="LOnormal"/>
              <w:widowControl w:val="false"/>
              <w:spacing w:lineRule="auto" w:line="240"/>
              <w:jc w:val="center"/>
              <w:rPr>
                <w:b/>
                <w:b/>
              </w:rPr>
            </w:pPr>
            <w:r>
              <w:rPr>
                <w:rFonts w:ascii="arial" w:hAnsi="arial"/>
                <w:b/>
                <w:i/>
              </w:rPr>
              <w:t xml:space="preserve">padj - </w:t>
            </w:r>
            <w:r>
              <w:rPr>
                <w:rFonts w:ascii="arial" w:hAnsi="arial"/>
                <w:b/>
              </w:rPr>
              <w:t>value of hybrid effect</w:t>
            </w:r>
          </w:p>
        </w:tc>
      </w:tr>
      <w:tr>
        <w:trPr>
          <w:trHeight w:val="715" w:hRule="atLeast"/>
        </w:trPr>
        <w:tc>
          <w:tcPr>
            <w:tcW w:w="9186" w:type="dxa"/>
            <w:gridSpan w:val="6"/>
            <w:tcBorders>
              <w:top w:val="single" w:sz="12" w:space="0" w:color="000000"/>
              <w:left w:val="single" w:sz="8" w:space="0" w:color="FFFFFF"/>
              <w:bottom w:val="single" w:sz="12" w:space="0" w:color="000000"/>
              <w:right w:val="single" w:sz="2" w:space="0" w:color="FFFFFF"/>
            </w:tcBorders>
            <w:shd w:fill="CCCCCC" w:val="clear"/>
            <w:vAlign w:val="center"/>
          </w:tcPr>
          <w:p>
            <w:pPr>
              <w:pStyle w:val="LOnormal"/>
              <w:widowControl w:val="false"/>
              <w:spacing w:lineRule="auto" w:line="240"/>
              <w:jc w:val="center"/>
              <w:rPr>
                <w:b/>
                <w:b/>
                <w:i/>
                <w:i/>
              </w:rPr>
            </w:pPr>
            <w:r>
              <w:rPr>
                <w:rFonts w:ascii="arial" w:hAnsi="arial"/>
                <w:b/>
                <w:i/>
              </w:rPr>
              <w:t>Bacteria</w:t>
            </w:r>
          </w:p>
        </w:tc>
      </w:tr>
      <w:tr>
        <w:trPr>
          <w:trHeight w:val="715" w:hRule="atLeast"/>
        </w:trPr>
        <w:tc>
          <w:tcPr>
            <w:tcW w:w="1814"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 xml:space="preserve">Richness </w:t>
            </w:r>
          </w:p>
          <w:p>
            <w:pPr>
              <w:pStyle w:val="LOnormal"/>
              <w:widowControl w:val="false"/>
              <w:spacing w:lineRule="auto" w:line="240"/>
              <w:jc w:val="center"/>
              <w:rPr>
                <w:rFonts w:ascii="arial" w:hAnsi="arial"/>
              </w:rPr>
            </w:pPr>
            <w:r>
              <w:rPr>
                <w:rFonts w:ascii="arial" w:hAnsi="arial"/>
              </w:rPr>
              <w:t>(</w:t>
            </w:r>
            <w:r>
              <w:rPr>
                <w:rFonts w:eastAsia="Noto Serif CJK SC" w:cs="Lohit Devanagari" w:ascii="arial" w:hAnsi="arial"/>
                <w:color w:val="auto"/>
                <w:kern w:val="2"/>
                <w:sz w:val="24"/>
                <w:szCs w:val="24"/>
                <w:lang w:val="en-US" w:eastAsia="zh-CN" w:bidi="hi-IN"/>
              </w:rPr>
              <w:t>Observed</w:t>
            </w:r>
            <w:r>
              <w:rPr>
                <w:rFonts w:ascii="arial" w:hAnsi="arial"/>
              </w:rPr>
              <w:t>)</w:t>
            </w:r>
          </w:p>
        </w:tc>
        <w:tc>
          <w:tcPr>
            <w:tcW w:w="1878"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Parental subspecies</w:t>
            </w:r>
          </w:p>
        </w:tc>
        <w:tc>
          <w:tcPr>
            <w:tcW w:w="992"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0.100</w:t>
            </w:r>
          </w:p>
        </w:tc>
        <w:tc>
          <w:tcPr>
            <w:tcW w:w="1444"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35.30</w:t>
            </w:r>
          </w:p>
        </w:tc>
        <w:tc>
          <w:tcPr>
            <w:tcW w:w="1345"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32.00</w:t>
            </w:r>
          </w:p>
        </w:tc>
        <w:tc>
          <w:tcPr>
            <w:tcW w:w="1713" w:type="dxa"/>
            <w:tcBorders>
              <w:top w:val="single" w:sz="12" w:space="0" w:color="000000"/>
              <w:left w:val="single" w:sz="8" w:space="0" w:color="FFFFFF"/>
              <w:bottom w:val="single" w:sz="4" w:space="0" w:color="000000"/>
              <w:right w:val="single" w:sz="2" w:space="0" w:color="FFFFFF"/>
            </w:tcBorders>
            <w:shd w:fill="auto" w:val="clear"/>
            <w:vAlign w:val="center"/>
          </w:tcPr>
          <w:p>
            <w:pPr>
              <w:pStyle w:val="LOnormal"/>
              <w:widowControl w:val="false"/>
              <w:spacing w:lineRule="auto" w:line="240"/>
              <w:jc w:val="center"/>
              <w:rPr>
                <w:rFonts w:ascii="arial" w:hAnsi="arial"/>
              </w:rPr>
            </w:pPr>
            <w:r>
              <w:rPr>
                <w:rFonts w:ascii="arial" w:hAnsi="arial"/>
              </w:rPr>
              <w:t>0.371 NS</w:t>
            </w:r>
          </w:p>
        </w:tc>
      </w:tr>
      <w:tr>
        <w:trPr>
          <w:trHeight w:val="715" w:hRule="atLeast"/>
        </w:trPr>
        <w:tc>
          <w:tcPr>
            <w:tcW w:w="1814" w:type="dxa"/>
            <w:vMerge w:val="restart"/>
            <w:tcBorders>
              <w:top w:val="single" w:sz="4"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 xml:space="preserve">Richness </w:t>
            </w:r>
          </w:p>
          <w:p>
            <w:pPr>
              <w:pStyle w:val="LOnormal"/>
              <w:widowControl w:val="false"/>
              <w:spacing w:lineRule="auto" w:line="240"/>
              <w:jc w:val="center"/>
              <w:rPr>
                <w:rFonts w:ascii="arial" w:hAnsi="arial"/>
              </w:rPr>
            </w:pPr>
            <w:r>
              <w:rPr>
                <w:rFonts w:ascii="arial" w:hAnsi="arial"/>
              </w:rPr>
              <w:t>(</w:t>
            </w:r>
            <w:r>
              <w:rPr>
                <w:rFonts w:eastAsia="Noto Serif CJK SC" w:cs="Lohit Devanagari" w:ascii="arial" w:hAnsi="arial"/>
                <w:color w:val="auto"/>
                <w:kern w:val="2"/>
                <w:sz w:val="24"/>
                <w:szCs w:val="24"/>
                <w:lang w:val="en-US" w:eastAsia="zh-CN" w:bidi="hi-IN"/>
              </w:rPr>
              <w:t>Observed</w:t>
            </w:r>
            <w:r>
              <w:rPr>
                <w:rFonts w:ascii="arial" w:hAnsi="arial"/>
              </w:rPr>
              <w:t>)</w:t>
            </w:r>
          </w:p>
          <w:p>
            <w:pPr>
              <w:pStyle w:val="LOnormal"/>
              <w:widowControl w:val="false"/>
              <w:spacing w:lineRule="auto" w:line="240"/>
              <w:jc w:val="center"/>
              <w:rPr>
                <w:rFonts w:ascii="arial" w:hAnsi="arial"/>
              </w:rPr>
            </w:pPr>
            <w:r>
              <w:rPr>
                <w:rFonts w:ascii="arial" w:hAnsi="arial"/>
              </w:rPr>
            </w:r>
          </w:p>
        </w:tc>
        <w:tc>
          <w:tcPr>
            <w:tcW w:w="1878" w:type="dxa"/>
            <w:tcBorders>
              <w:top w:val="single" w:sz="4"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Parental subspecies and transect</w:t>
            </w:r>
          </w:p>
          <w:p>
            <w:pPr>
              <w:pStyle w:val="LOnormal"/>
              <w:widowControl w:val="false"/>
              <w:spacing w:lineRule="auto" w:line="240"/>
              <w:jc w:val="center"/>
              <w:rPr>
                <w:b/>
                <w:b/>
              </w:rPr>
            </w:pPr>
            <w:r>
              <w:rPr>
                <w:rFonts w:ascii="arial" w:hAnsi="arial"/>
                <w:b/>
              </w:rPr>
              <w:t xml:space="preserve">(Bavaria </w:t>
            </w:r>
            <w:r>
              <w:rPr>
                <w:rFonts w:ascii="arial" w:hAnsi="arial"/>
                <w:b/>
                <w:i/>
                <w:iCs/>
              </w:rPr>
              <w:t>N</w:t>
            </w:r>
            <w:r>
              <w:rPr>
                <w:rFonts w:ascii="arial" w:hAnsi="arial"/>
                <w:b/>
              </w:rPr>
              <w:t>=52)</w:t>
            </w:r>
          </w:p>
        </w:tc>
        <w:tc>
          <w:tcPr>
            <w:tcW w:w="992" w:type="dxa"/>
            <w:tcBorders>
              <w:top w:val="single" w:sz="4"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1.491</w:t>
            </w:r>
          </w:p>
        </w:tc>
        <w:tc>
          <w:tcPr>
            <w:tcW w:w="1444" w:type="dxa"/>
            <w:tcBorders>
              <w:top w:val="single" w:sz="4"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28.183</w:t>
            </w:r>
          </w:p>
        </w:tc>
        <w:tc>
          <w:tcPr>
            <w:tcW w:w="1345" w:type="dxa"/>
            <w:tcBorders>
              <w:top w:val="single" w:sz="4"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15.10</w:t>
            </w:r>
          </w:p>
        </w:tc>
        <w:tc>
          <w:tcPr>
            <w:tcW w:w="1713" w:type="dxa"/>
            <w:tcBorders>
              <w:top w:val="single" w:sz="4" w:space="0" w:color="000000"/>
              <w:left w:val="single" w:sz="8" w:space="0" w:color="FFFFFF"/>
              <w:bottom w:val="single" w:sz="4" w:space="0" w:color="000000"/>
              <w:right w:val="single" w:sz="2" w:space="0" w:color="FFFFFF"/>
            </w:tcBorders>
            <w:shd w:fill="auto" w:val="clear"/>
            <w:vAlign w:val="center"/>
          </w:tcPr>
          <w:p>
            <w:pPr>
              <w:pStyle w:val="LOnormal"/>
              <w:widowControl w:val="false"/>
              <w:spacing w:lineRule="auto" w:line="240"/>
              <w:jc w:val="center"/>
              <w:rPr>
                <w:rFonts w:ascii="arial" w:hAnsi="arial"/>
              </w:rPr>
            </w:pPr>
            <w:r>
              <w:rPr>
                <w:rFonts w:ascii="arial" w:hAnsi="arial"/>
              </w:rPr>
              <w:t>0.</w:t>
            </w:r>
            <w:r>
              <w:rPr>
                <w:rFonts w:eastAsia="Noto Serif CJK SC" w:cs="Lohit Devanagari" w:ascii="arial" w:hAnsi="arial"/>
                <w:color w:val="auto"/>
                <w:kern w:val="2"/>
                <w:sz w:val="24"/>
                <w:szCs w:val="24"/>
                <w:lang w:val="en-US" w:eastAsia="zh-CN" w:bidi="hi-IN"/>
              </w:rPr>
              <w:t>004</w:t>
            </w:r>
            <w:r>
              <w:rPr>
                <w:rFonts w:ascii="arial" w:hAnsi="arial"/>
              </w:rPr>
              <w:t xml:space="preserve"> **</w:t>
            </w:r>
          </w:p>
        </w:tc>
      </w:tr>
      <w:tr>
        <w:trPr>
          <w:trHeight w:val="715" w:hRule="atLeast"/>
        </w:trPr>
        <w:tc>
          <w:tcPr>
            <w:tcW w:w="1814" w:type="dxa"/>
            <w:vMerge w:val="continue"/>
            <w:tcBorders>
              <w:top w:val="single" w:sz="4"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r>
          </w:p>
        </w:tc>
        <w:tc>
          <w:tcPr>
            <w:tcW w:w="1878" w:type="dxa"/>
            <w:tcBorders>
              <w:top w:val="single" w:sz="4"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Parental subspecies and transect</w:t>
            </w:r>
          </w:p>
          <w:p>
            <w:pPr>
              <w:pStyle w:val="LOnormal"/>
              <w:widowControl w:val="false"/>
              <w:spacing w:lineRule="auto" w:line="240"/>
              <w:jc w:val="center"/>
              <w:rPr>
                <w:b/>
                <w:b/>
              </w:rPr>
            </w:pPr>
            <w:r>
              <w:rPr>
                <w:rFonts w:ascii="arial" w:hAnsi="arial"/>
                <w:b/>
              </w:rPr>
              <w:t xml:space="preserve">(Brandenburg </w:t>
            </w:r>
            <w:r>
              <w:rPr>
                <w:rFonts w:ascii="arial" w:hAnsi="arial"/>
                <w:b/>
                <w:i/>
                <w:iCs/>
              </w:rPr>
              <w:t>N</w:t>
            </w:r>
            <w:r>
              <w:rPr>
                <w:rFonts w:ascii="arial" w:hAnsi="arial"/>
                <w:b/>
              </w:rPr>
              <w:t>= 441)</w:t>
            </w:r>
          </w:p>
        </w:tc>
        <w:tc>
          <w:tcPr>
            <w:tcW w:w="992" w:type="dxa"/>
            <w:tcBorders>
              <w:top w:val="single" w:sz="4"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0.076</w:t>
            </w:r>
          </w:p>
        </w:tc>
        <w:tc>
          <w:tcPr>
            <w:tcW w:w="1444" w:type="dxa"/>
            <w:tcBorders>
              <w:top w:val="single" w:sz="4"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35.50</w:t>
            </w:r>
          </w:p>
        </w:tc>
        <w:tc>
          <w:tcPr>
            <w:tcW w:w="1345" w:type="dxa"/>
            <w:tcBorders>
              <w:top w:val="single" w:sz="4"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32.87</w:t>
            </w:r>
          </w:p>
        </w:tc>
        <w:tc>
          <w:tcPr>
            <w:tcW w:w="1713" w:type="dxa"/>
            <w:tcBorders>
              <w:top w:val="single" w:sz="4" w:space="0" w:color="000000"/>
              <w:left w:val="single" w:sz="8" w:space="0" w:color="FFFFFF"/>
              <w:bottom w:val="single" w:sz="12" w:space="0" w:color="000000"/>
              <w:right w:val="single" w:sz="2" w:space="0" w:color="FFFFFF"/>
            </w:tcBorders>
            <w:shd w:fill="auto" w:val="clear"/>
            <w:vAlign w:val="center"/>
          </w:tcPr>
          <w:p>
            <w:pPr>
              <w:pStyle w:val="LOnormal"/>
              <w:widowControl w:val="false"/>
              <w:spacing w:lineRule="auto" w:line="240"/>
              <w:jc w:val="center"/>
              <w:rPr>
                <w:rFonts w:ascii="arial" w:hAnsi="arial"/>
              </w:rPr>
            </w:pPr>
            <w:r>
              <w:rPr>
                <w:rFonts w:ascii="arial" w:hAnsi="arial"/>
              </w:rPr>
              <w:t>0.</w:t>
            </w:r>
            <w:r>
              <w:rPr>
                <w:rFonts w:eastAsia="Noto Serif CJK SC" w:cs="Lohit Devanagari" w:ascii="arial" w:hAnsi="arial"/>
                <w:color w:val="auto"/>
                <w:kern w:val="2"/>
                <w:sz w:val="24"/>
                <w:szCs w:val="24"/>
                <w:lang w:val="en-US" w:eastAsia="zh-CN" w:bidi="hi-IN"/>
              </w:rPr>
              <w:t>567 NS</w:t>
            </w:r>
          </w:p>
        </w:tc>
      </w:tr>
      <w:tr>
        <w:trPr>
          <w:trHeight w:val="715" w:hRule="atLeast"/>
        </w:trPr>
        <w:tc>
          <w:tcPr>
            <w:tcW w:w="9186" w:type="dxa"/>
            <w:gridSpan w:val="6"/>
            <w:tcBorders>
              <w:top w:val="single" w:sz="12" w:space="0" w:color="000000"/>
              <w:left w:val="single" w:sz="8" w:space="0" w:color="FFFFFF"/>
              <w:bottom w:val="single" w:sz="12" w:space="0" w:color="000000"/>
              <w:right w:val="single" w:sz="2" w:space="0" w:color="FFFFFF"/>
            </w:tcBorders>
            <w:shd w:fill="CCCCCC" w:val="clear"/>
            <w:vAlign w:val="center"/>
          </w:tcPr>
          <w:p>
            <w:pPr>
              <w:pStyle w:val="LOnormal"/>
              <w:widowControl w:val="false"/>
              <w:spacing w:lineRule="auto" w:line="240"/>
              <w:jc w:val="center"/>
              <w:rPr>
                <w:b/>
                <w:b/>
                <w:i/>
                <w:i/>
              </w:rPr>
            </w:pPr>
            <w:r>
              <w:rPr>
                <w:rFonts w:ascii="arial" w:hAnsi="arial"/>
                <w:b/>
                <w:i/>
              </w:rPr>
              <w:t>Antimicrobial resistance genes (ARG)</w:t>
            </w:r>
          </w:p>
        </w:tc>
      </w:tr>
      <w:tr>
        <w:trPr>
          <w:trHeight w:val="715" w:hRule="atLeast"/>
        </w:trPr>
        <w:tc>
          <w:tcPr>
            <w:tcW w:w="1814"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Richness (</w:t>
            </w:r>
            <w:r>
              <w:rPr>
                <w:rFonts w:eastAsia="Noto Serif CJK SC" w:cs="Lohit Devanagari" w:ascii="arial" w:hAnsi="arial"/>
                <w:color w:val="auto"/>
                <w:kern w:val="2"/>
                <w:sz w:val="24"/>
                <w:szCs w:val="24"/>
                <w:lang w:val="en-US" w:eastAsia="zh-CN" w:bidi="hi-IN"/>
              </w:rPr>
              <w:t>Observed</w:t>
            </w:r>
            <w:r>
              <w:rPr>
                <w:rFonts w:ascii="arial" w:hAnsi="arial"/>
              </w:rPr>
              <w:t>)</w:t>
            </w:r>
          </w:p>
        </w:tc>
        <w:tc>
          <w:tcPr>
            <w:tcW w:w="1878"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Parental subspecies</w:t>
            </w:r>
          </w:p>
        </w:tc>
        <w:tc>
          <w:tcPr>
            <w:tcW w:w="992"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0.363</w:t>
            </w:r>
          </w:p>
        </w:tc>
        <w:tc>
          <w:tcPr>
            <w:tcW w:w="1444"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30.08</w:t>
            </w:r>
          </w:p>
        </w:tc>
        <w:tc>
          <w:tcPr>
            <w:tcW w:w="1345"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26.62</w:t>
            </w:r>
          </w:p>
        </w:tc>
        <w:tc>
          <w:tcPr>
            <w:tcW w:w="1713" w:type="dxa"/>
            <w:tcBorders>
              <w:top w:val="single" w:sz="12" w:space="0" w:color="000000"/>
              <w:left w:val="single" w:sz="8" w:space="0" w:color="FFFFFF"/>
              <w:bottom w:val="single" w:sz="4" w:space="0" w:color="000000"/>
              <w:right w:val="single" w:sz="2" w:space="0" w:color="FFFFFF"/>
            </w:tcBorders>
            <w:shd w:fill="auto" w:val="clear"/>
            <w:vAlign w:val="center"/>
          </w:tcPr>
          <w:p>
            <w:pPr>
              <w:pStyle w:val="LOnormal"/>
              <w:widowControl w:val="false"/>
              <w:spacing w:lineRule="auto" w:line="240"/>
              <w:jc w:val="center"/>
              <w:rPr>
                <w:rFonts w:ascii="arial" w:hAnsi="arial"/>
              </w:rPr>
            </w:pPr>
            <w:r>
              <w:rPr>
                <w:rFonts w:ascii="arial" w:hAnsi="arial"/>
              </w:rPr>
              <w:t>0.002 **</w:t>
            </w:r>
          </w:p>
        </w:tc>
      </w:tr>
      <w:tr>
        <w:trPr>
          <w:trHeight w:val="715" w:hRule="atLeast"/>
        </w:trPr>
        <w:tc>
          <w:tcPr>
            <w:tcW w:w="1814" w:type="dxa"/>
            <w:vMerge w:val="restart"/>
            <w:tcBorders>
              <w:top w:val="single" w:sz="4" w:space="0" w:color="000000"/>
              <w:left w:val="single" w:sz="8" w:space="0" w:color="FFFFFF"/>
              <w:bottom w:val="single" w:sz="8" w:space="0" w:color="000000"/>
            </w:tcBorders>
            <w:shd w:fill="auto" w:val="clear"/>
            <w:vAlign w:val="center"/>
          </w:tcPr>
          <w:p>
            <w:pPr>
              <w:pStyle w:val="LOnormal"/>
              <w:widowControl w:val="false"/>
              <w:spacing w:lineRule="auto" w:line="240"/>
              <w:jc w:val="center"/>
              <w:rPr>
                <w:rFonts w:ascii="arial" w:hAnsi="arial"/>
              </w:rPr>
            </w:pPr>
            <w:r>
              <w:rPr>
                <w:rFonts w:ascii="arial" w:hAnsi="arial"/>
              </w:rPr>
              <w:t>Richness (</w:t>
            </w:r>
            <w:r>
              <w:rPr>
                <w:rFonts w:eastAsia="Noto Serif CJK SC" w:cs="Lohit Devanagari" w:ascii="arial" w:hAnsi="arial"/>
                <w:color w:val="auto"/>
                <w:kern w:val="2"/>
                <w:sz w:val="24"/>
                <w:szCs w:val="24"/>
                <w:lang w:val="en-US" w:eastAsia="zh-CN" w:bidi="hi-IN"/>
              </w:rPr>
              <w:t>Observed</w:t>
            </w:r>
            <w:r>
              <w:rPr>
                <w:rFonts w:ascii="arial" w:hAnsi="arial"/>
              </w:rPr>
              <w:t>)</w:t>
            </w:r>
          </w:p>
        </w:tc>
        <w:tc>
          <w:tcPr>
            <w:tcW w:w="1878" w:type="dxa"/>
            <w:tcBorders>
              <w:top w:val="single" w:sz="4" w:space="0" w:color="000000"/>
              <w:left w:val="single" w:sz="8" w:space="0" w:color="FFFFFF"/>
              <w:bottom w:val="single" w:sz="8" w:space="0" w:color="000000"/>
            </w:tcBorders>
            <w:shd w:fill="auto" w:val="clear"/>
            <w:vAlign w:val="center"/>
          </w:tcPr>
          <w:p>
            <w:pPr>
              <w:pStyle w:val="LOnormal"/>
              <w:widowControl w:val="false"/>
              <w:spacing w:lineRule="auto" w:line="240"/>
              <w:jc w:val="center"/>
              <w:rPr>
                <w:rFonts w:ascii="arial" w:hAnsi="arial"/>
              </w:rPr>
            </w:pPr>
            <w:r>
              <w:rPr>
                <w:rFonts w:ascii="arial" w:hAnsi="arial"/>
              </w:rPr>
              <w:t>Parental subspecies and transect</w:t>
            </w:r>
          </w:p>
          <w:p>
            <w:pPr>
              <w:pStyle w:val="LOnormal"/>
              <w:widowControl w:val="false"/>
              <w:spacing w:lineRule="auto" w:line="240"/>
              <w:jc w:val="center"/>
              <w:rPr>
                <w:rFonts w:ascii="arial" w:hAnsi="arial"/>
              </w:rPr>
            </w:pPr>
            <w:r>
              <w:rPr>
                <w:rFonts w:ascii="arial" w:hAnsi="arial"/>
                <w:b/>
              </w:rPr>
              <w:t xml:space="preserve">(Bavaria </w:t>
            </w:r>
            <w:r>
              <w:rPr>
                <w:rFonts w:ascii="arial" w:hAnsi="arial"/>
                <w:b/>
                <w:i/>
                <w:iCs/>
              </w:rPr>
              <w:t>N</w:t>
            </w:r>
            <w:r>
              <w:rPr>
                <w:rFonts w:ascii="arial" w:hAnsi="arial"/>
                <w:b/>
              </w:rPr>
              <w:t>=52)</w:t>
            </w:r>
          </w:p>
        </w:tc>
        <w:tc>
          <w:tcPr>
            <w:tcW w:w="992" w:type="dxa"/>
            <w:tcBorders>
              <w:top w:val="single" w:sz="4" w:space="0" w:color="000000"/>
              <w:left w:val="single" w:sz="8" w:space="0" w:color="FFFFFF"/>
              <w:bottom w:val="single" w:sz="8" w:space="0" w:color="000000"/>
            </w:tcBorders>
            <w:shd w:fill="auto" w:val="clear"/>
            <w:vAlign w:val="center"/>
          </w:tcPr>
          <w:p>
            <w:pPr>
              <w:pStyle w:val="LOnormal"/>
              <w:widowControl w:val="false"/>
              <w:spacing w:lineRule="auto" w:line="240"/>
              <w:jc w:val="center"/>
              <w:rPr>
                <w:rFonts w:ascii="arial" w:hAnsi="arial"/>
              </w:rPr>
            </w:pPr>
            <w:r>
              <w:rPr>
                <w:rFonts w:ascii="arial" w:hAnsi="arial"/>
              </w:rPr>
              <w:t>1.17</w:t>
            </w:r>
          </w:p>
        </w:tc>
        <w:tc>
          <w:tcPr>
            <w:tcW w:w="1444" w:type="dxa"/>
            <w:tcBorders>
              <w:top w:val="single" w:sz="4" w:space="0" w:color="000000"/>
              <w:left w:val="single" w:sz="8" w:space="0" w:color="FFFFFF"/>
              <w:bottom w:val="single" w:sz="8" w:space="0" w:color="000000"/>
            </w:tcBorders>
            <w:shd w:fill="auto" w:val="clear"/>
            <w:vAlign w:val="center"/>
          </w:tcPr>
          <w:p>
            <w:pPr>
              <w:pStyle w:val="LOnormal"/>
              <w:widowControl w:val="false"/>
              <w:spacing w:lineRule="auto" w:line="240"/>
              <w:jc w:val="center"/>
              <w:rPr>
                <w:rFonts w:ascii="arial" w:hAnsi="arial"/>
              </w:rPr>
            </w:pPr>
            <w:r>
              <w:rPr>
                <w:rFonts w:ascii="arial" w:hAnsi="arial"/>
              </w:rPr>
              <w:t>25.20</w:t>
            </w:r>
          </w:p>
        </w:tc>
        <w:tc>
          <w:tcPr>
            <w:tcW w:w="1345" w:type="dxa"/>
            <w:tcBorders>
              <w:top w:val="single" w:sz="4" w:space="0" w:color="000000"/>
              <w:left w:val="single" w:sz="8" w:space="0" w:color="FFFFFF"/>
              <w:bottom w:val="single" w:sz="8" w:space="0" w:color="000000"/>
            </w:tcBorders>
            <w:shd w:fill="auto" w:val="clear"/>
            <w:vAlign w:val="center"/>
          </w:tcPr>
          <w:p>
            <w:pPr>
              <w:pStyle w:val="LOnormal"/>
              <w:widowControl w:val="false"/>
              <w:spacing w:lineRule="auto" w:line="240"/>
              <w:jc w:val="center"/>
              <w:rPr>
                <w:rFonts w:ascii="arial" w:hAnsi="arial"/>
              </w:rPr>
            </w:pPr>
            <w:r>
              <w:rPr>
                <w:rFonts w:ascii="arial" w:hAnsi="arial"/>
              </w:rPr>
              <w:t>19.58</w:t>
            </w:r>
          </w:p>
        </w:tc>
        <w:tc>
          <w:tcPr>
            <w:tcW w:w="1713" w:type="dxa"/>
            <w:tcBorders>
              <w:top w:val="single" w:sz="4" w:space="0" w:color="000000"/>
              <w:left w:val="single" w:sz="8" w:space="0" w:color="FFFFFF"/>
              <w:bottom w:val="single" w:sz="8" w:space="0" w:color="000000"/>
              <w:right w:val="single" w:sz="2" w:space="0" w:color="FFFFFF"/>
            </w:tcBorders>
            <w:shd w:fill="auto" w:val="clear"/>
            <w:vAlign w:val="center"/>
          </w:tcPr>
          <w:p>
            <w:pPr>
              <w:pStyle w:val="LOnormal"/>
              <w:widowControl w:val="false"/>
              <w:spacing w:lineRule="auto" w:line="240"/>
              <w:jc w:val="center"/>
              <w:rPr>
                <w:rFonts w:ascii="arial" w:hAnsi="arial"/>
              </w:rPr>
            </w:pPr>
            <w:r>
              <w:rPr>
                <w:rFonts w:ascii="arial" w:hAnsi="arial"/>
              </w:rPr>
              <w:t>0.015 *</w:t>
            </w:r>
          </w:p>
        </w:tc>
      </w:tr>
      <w:tr>
        <w:trPr>
          <w:trHeight w:val="715" w:hRule="atLeast"/>
        </w:trPr>
        <w:tc>
          <w:tcPr>
            <w:tcW w:w="1814" w:type="dxa"/>
            <w:vMerge w:val="continue"/>
            <w:tcBorders>
              <w:top w:val="single" w:sz="8"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r>
          </w:p>
        </w:tc>
        <w:tc>
          <w:tcPr>
            <w:tcW w:w="1878" w:type="dxa"/>
            <w:tcBorders>
              <w:top w:val="single" w:sz="8"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Parental subspecies and transect</w:t>
            </w:r>
          </w:p>
          <w:p>
            <w:pPr>
              <w:pStyle w:val="LOnormal"/>
              <w:widowControl w:val="false"/>
              <w:spacing w:lineRule="auto" w:line="240"/>
              <w:jc w:val="center"/>
              <w:rPr>
                <w:rFonts w:ascii="arial" w:hAnsi="arial"/>
              </w:rPr>
            </w:pPr>
            <w:r>
              <w:rPr>
                <w:rFonts w:ascii="arial" w:hAnsi="arial"/>
                <w:b/>
              </w:rPr>
              <w:t xml:space="preserve">(Brandenburg </w:t>
            </w:r>
            <w:r>
              <w:rPr>
                <w:rFonts w:ascii="arial" w:hAnsi="arial"/>
                <w:b/>
                <w:i/>
                <w:iCs/>
              </w:rPr>
              <w:t>N</w:t>
            </w:r>
            <w:r>
              <w:rPr>
                <w:rFonts w:ascii="arial" w:hAnsi="arial"/>
                <w:b/>
              </w:rPr>
              <w:t>= 441)</w:t>
            </w:r>
          </w:p>
        </w:tc>
        <w:tc>
          <w:tcPr>
            <w:tcW w:w="992" w:type="dxa"/>
            <w:tcBorders>
              <w:top w:val="single" w:sz="8"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0.317</w:t>
            </w:r>
          </w:p>
        </w:tc>
        <w:tc>
          <w:tcPr>
            <w:tcW w:w="1444" w:type="dxa"/>
            <w:tcBorders>
              <w:top w:val="single" w:sz="8"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30.36</w:t>
            </w:r>
          </w:p>
        </w:tc>
        <w:tc>
          <w:tcPr>
            <w:tcW w:w="1345" w:type="dxa"/>
            <w:tcBorders>
              <w:top w:val="single" w:sz="8"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27.07</w:t>
            </w:r>
          </w:p>
        </w:tc>
        <w:tc>
          <w:tcPr>
            <w:tcW w:w="1713" w:type="dxa"/>
            <w:tcBorders>
              <w:top w:val="single" w:sz="8" w:space="0" w:color="000000"/>
              <w:left w:val="single" w:sz="8" w:space="0" w:color="FFFFFF"/>
              <w:bottom w:val="single" w:sz="12" w:space="0" w:color="000000"/>
              <w:right w:val="single" w:sz="2" w:space="0" w:color="FFFFFF"/>
            </w:tcBorders>
            <w:shd w:fill="auto" w:val="clear"/>
            <w:vAlign w:val="center"/>
          </w:tcPr>
          <w:p>
            <w:pPr>
              <w:pStyle w:val="LOnormal"/>
              <w:widowControl w:val="false"/>
              <w:spacing w:lineRule="auto" w:line="240"/>
              <w:jc w:val="center"/>
              <w:rPr>
                <w:rFonts w:ascii="arial" w:hAnsi="arial"/>
              </w:rPr>
            </w:pPr>
            <w:r>
              <w:rPr>
                <w:rFonts w:ascii="arial" w:hAnsi="arial"/>
              </w:rPr>
              <w:t>0.007 **</w:t>
            </w:r>
          </w:p>
        </w:tc>
      </w:tr>
    </w:tbl>
    <w:p>
      <w:pPr>
        <w:pStyle w:val="LOnormal"/>
        <w:shd w:val="clear" w:fill="FFFFFF"/>
        <w:spacing w:lineRule="auto" w:line="276"/>
        <w:jc w:val="both"/>
        <w:rPr>
          <w:rFonts w:ascii="arial" w:hAnsi="arial"/>
          <w:b/>
          <w:b/>
        </w:rPr>
      </w:pPr>
      <w:r>
        <w:rPr>
          <w:rFonts w:ascii="arial" w:hAnsi="arial"/>
          <w:b/>
          <w:i/>
          <w:iCs/>
        </w:rPr>
        <w:t>N</w:t>
      </w:r>
      <w:r>
        <w:rPr>
          <w:rFonts w:ascii="arial" w:hAnsi="arial"/>
          <w:b/>
        </w:rPr>
        <w:t>= Number of localities per transect</w:t>
      </w:r>
    </w:p>
    <w:p>
      <w:pPr>
        <w:pStyle w:val="LOnormal"/>
        <w:shd w:val="clear" w:fill="FFFFFF"/>
        <w:spacing w:lineRule="auto" w:line="276"/>
        <w:jc w:val="both"/>
        <w:rPr>
          <w:rFonts w:ascii="arial" w:hAnsi="arial"/>
          <w:b/>
          <w:b/>
        </w:rPr>
      </w:pPr>
      <w:r>
        <w:rPr>
          <w:rFonts w:ascii="arial" w:hAnsi="arial"/>
          <w:b/>
        </w:rPr>
      </w:r>
    </w:p>
    <w:p>
      <w:pPr>
        <w:pStyle w:val="LOnormal"/>
        <w:shd w:val="clear" w:fill="FFFFFF"/>
        <w:spacing w:lineRule="auto" w:line="276"/>
        <w:jc w:val="both"/>
        <w:rPr>
          <w:rFonts w:ascii="arial" w:hAnsi="arial"/>
          <w:b/>
          <w:b/>
        </w:rPr>
      </w:pPr>
      <w:r>
        <w:rPr>
          <w:rFonts w:ascii="arial" w:hAnsi="arial"/>
          <w:b/>
        </w:rPr>
      </w:r>
    </w:p>
    <w:p>
      <w:pPr>
        <w:pStyle w:val="LOnormal"/>
        <w:shd w:val="clear" w:fill="FFFFFF"/>
        <w:spacing w:lineRule="auto" w:line="276"/>
        <w:jc w:val="both"/>
        <w:rPr>
          <w:rFonts w:ascii="arial" w:hAnsi="arial"/>
          <w:b/>
          <w:b/>
        </w:rPr>
      </w:pPr>
      <w:r>
        <w:rPr>
          <w:rFonts w:ascii="arial" w:hAnsi="arial"/>
          <w:b/>
        </w:rPr>
      </w:r>
    </w:p>
    <w:p>
      <w:pPr>
        <w:pStyle w:val="LOnormal"/>
        <w:shd w:val="clear" w:fill="FFFFFF"/>
        <w:spacing w:lineRule="auto" w:line="276"/>
        <w:jc w:val="both"/>
        <w:rPr>
          <w:rFonts w:ascii="arial" w:hAnsi="arial"/>
          <w:b/>
          <w:b/>
        </w:rPr>
      </w:pPr>
      <w:r>
        <w:rPr>
          <w:rFonts w:ascii="arial" w:hAnsi="arial"/>
          <w:b/>
        </w:rPr>
      </w:r>
    </w:p>
    <w:p>
      <w:pPr>
        <w:pStyle w:val="LOnormal"/>
        <w:shd w:val="clear" w:fill="FFFFFF"/>
        <w:spacing w:lineRule="auto" w:line="276"/>
        <w:jc w:val="both"/>
        <w:rPr>
          <w:rFonts w:ascii="arial" w:hAnsi="arial"/>
          <w:b/>
          <w:b/>
        </w:rPr>
      </w:pPr>
      <w:r>
        <w:rPr>
          <w:rFonts w:ascii="arial" w:hAnsi="arial"/>
          <w:b/>
        </w:rPr>
      </w:r>
    </w:p>
    <w:p>
      <w:pPr>
        <w:pStyle w:val="LOnormal"/>
        <w:shd w:val="clear" w:fill="FFFFFF"/>
        <w:spacing w:lineRule="auto" w:line="276"/>
        <w:jc w:val="both"/>
        <w:rPr>
          <w:rFonts w:ascii="arial" w:hAnsi="arial"/>
          <w:b/>
          <w:b/>
        </w:rPr>
      </w:pPr>
      <w:r>
        <w:rPr>
          <w:rFonts w:ascii="arial" w:hAnsi="arial"/>
          <w:b/>
        </w:rPr>
      </w:r>
    </w:p>
    <w:p>
      <w:pPr>
        <w:pStyle w:val="LOnormal"/>
        <w:jc w:val="both"/>
        <w:rPr/>
      </w:pPr>
      <w:r>
        <w:rPr>
          <w:rFonts w:ascii="arial" w:hAnsi="arial"/>
          <w:b/>
        </w:rPr>
        <w:t xml:space="preserve">Supplement table </w:t>
      </w:r>
      <w:r>
        <w:rPr>
          <w:rFonts w:eastAsia="Noto Serif CJK SC" w:cs="Lohit Devanagari" w:ascii="arial" w:hAnsi="arial"/>
          <w:b/>
          <w:color w:val="000000"/>
          <w:kern w:val="2"/>
          <w:sz w:val="24"/>
          <w:szCs w:val="24"/>
          <w:lang w:val="en-US" w:eastAsia="zh-CN" w:bidi="hi-IN"/>
        </w:rPr>
        <w:t>4.3</w:t>
      </w:r>
      <w:r>
        <w:rPr>
          <w:rFonts w:ascii="arial" w:hAnsi="arial"/>
          <w:b/>
        </w:rPr>
        <w:t>.</w:t>
      </w:r>
      <w:r>
        <w:rPr>
          <w:rFonts w:ascii="arial" w:hAnsi="arial"/>
          <w:b/>
          <w:sz w:val="22"/>
          <w:szCs w:val="22"/>
        </w:rPr>
        <w:t xml:space="preserve"> </w:t>
      </w:r>
      <w:r>
        <w:rPr>
          <w:rFonts w:ascii="arial" w:hAnsi="arial"/>
          <w:b/>
          <w:sz w:val="24"/>
          <w:szCs w:val="24"/>
        </w:rPr>
        <w:t xml:space="preserve">Transgressive phenotypes estimated by maximum likelihood for ARG and bacteria diversity (Shannon index). 𝛼 represents the magnitude of the effect of hybridisation. </w:t>
      </w:r>
      <w:r>
        <w:rPr>
          <w:rFonts w:eastAsia="Noto Serif CJK SC" w:cs="Lohit Devanagari" w:ascii="arial" w:hAnsi="arial"/>
          <w:b/>
          <w:i w:val="false"/>
          <w:caps w:val="false"/>
          <w:smallCaps w:val="false"/>
          <w:strike w:val="false"/>
          <w:dstrike w:val="false"/>
          <w:color w:val="0E101A"/>
          <w:kern w:val="2"/>
          <w:sz w:val="24"/>
          <w:szCs w:val="24"/>
          <w:u w:val="none"/>
          <w:effect w:val="none"/>
          <w:lang w:val="en-US" w:eastAsia="zh-CN" w:bidi="hi-IN"/>
        </w:rPr>
        <w:t>M</w:t>
      </w:r>
      <w:r>
        <w:rPr>
          <w:rFonts w:ascii="arial" w:hAnsi="arial"/>
          <w:b/>
          <w:i w:val="false"/>
          <w:caps w:val="false"/>
          <w:smallCaps w:val="false"/>
          <w:strike w:val="false"/>
          <w:dstrike w:val="false"/>
          <w:color w:val="0E101A"/>
          <w:sz w:val="24"/>
          <w:szCs w:val="24"/>
          <w:u w:val="none"/>
          <w:effect w:val="none"/>
        </w:rPr>
        <w:t>odels including or excluding parental subspecies (</w:t>
      </w:r>
      <w:r>
        <w:rPr>
          <w:rFonts w:ascii="arial" w:hAnsi="arial"/>
          <w:b/>
          <w:i/>
          <w:iCs/>
          <w:caps w:val="false"/>
          <w:smallCaps w:val="false"/>
          <w:strike w:val="false"/>
          <w:dstrike w:val="false"/>
          <w:color w:val="0E101A"/>
          <w:sz w:val="24"/>
          <w:szCs w:val="24"/>
          <w:u w:val="none"/>
          <w:effect w:val="none"/>
        </w:rPr>
        <w:t>Mmd</w:t>
      </w:r>
      <w:r>
        <w:rPr>
          <w:rFonts w:ascii="arial" w:hAnsi="arial"/>
          <w:b/>
          <w:i w:val="false"/>
          <w:caps w:val="false"/>
          <w:smallCaps w:val="false"/>
          <w:strike w:val="false"/>
          <w:dstrike w:val="false"/>
          <w:color w:val="0E101A"/>
          <w:sz w:val="24"/>
          <w:szCs w:val="24"/>
          <w:u w:val="none"/>
          <w:effect w:val="none"/>
        </w:rPr>
        <w:t xml:space="preserve"> and </w:t>
      </w:r>
      <w:r>
        <w:rPr>
          <w:rFonts w:ascii="arial" w:hAnsi="arial"/>
          <w:b/>
          <w:i/>
          <w:iCs/>
          <w:caps w:val="false"/>
          <w:smallCaps w:val="false"/>
          <w:strike w:val="false"/>
          <w:dstrike w:val="false"/>
          <w:color w:val="0E101A"/>
          <w:sz w:val="24"/>
          <w:szCs w:val="24"/>
          <w:u w:val="none"/>
          <w:effect w:val="none"/>
        </w:rPr>
        <w:t>Mmm</w:t>
      </w:r>
      <w:r>
        <w:rPr>
          <w:rFonts w:ascii="arial" w:hAnsi="arial"/>
          <w:b/>
          <w:i w:val="false"/>
          <w:caps w:val="false"/>
          <w:smallCaps w:val="false"/>
          <w:strike w:val="false"/>
          <w:dstrike w:val="false"/>
          <w:color w:val="0E101A"/>
          <w:sz w:val="24"/>
          <w:szCs w:val="24"/>
          <w:u w:val="none"/>
          <w:effect w:val="none"/>
        </w:rPr>
        <w:t>) and the two transect (Brandenburg and Bavaria) as predictors using likelihood-ratio tests and considered a pred</w:t>
      </w:r>
      <w:r>
        <w:rPr>
          <w:rFonts w:eastAsia="Noto Serif CJK SC" w:cs="Lohit Devanagari" w:ascii="arial" w:hAnsi="arial"/>
          <w:b/>
          <w:i w:val="false"/>
          <w:caps w:val="false"/>
          <w:smallCaps w:val="false"/>
          <w:strike w:val="false"/>
          <w:dstrike w:val="false"/>
          <w:color w:val="0E101A"/>
          <w:kern w:val="2"/>
          <w:sz w:val="24"/>
          <w:szCs w:val="24"/>
          <w:u w:val="none"/>
          <w:effect w:val="none"/>
          <w:lang w:val="en-US" w:eastAsia="zh-CN" w:bidi="hi-IN"/>
        </w:rPr>
        <w:t>ictor</w:t>
      </w:r>
      <w:r>
        <w:rPr>
          <w:rFonts w:ascii="arial" w:hAnsi="arial"/>
          <w:b/>
          <w:i w:val="false"/>
          <w:caps w:val="false"/>
          <w:smallCaps w:val="false"/>
          <w:strike w:val="false"/>
          <w:dstrike w:val="false"/>
          <w:color w:val="0E101A"/>
          <w:sz w:val="24"/>
          <w:szCs w:val="24"/>
          <w:u w:val="none"/>
          <w:effect w:val="none"/>
        </w:rPr>
        <w:t xml:space="preserve"> significant only in case of a significant increase in model likelihood</w:t>
      </w:r>
      <w:r>
        <w:rPr>
          <w:rFonts w:ascii="arial" w:hAnsi="arial"/>
          <w:b/>
          <w:i w:val="false"/>
          <w:caps w:val="false"/>
          <w:smallCaps w:val="false"/>
          <w:strike w:val="false"/>
          <w:dstrike w:val="false"/>
          <w:color w:val="0E101A"/>
          <w:sz w:val="22"/>
          <w:szCs w:val="22"/>
          <w:u w:val="none"/>
          <w:effect w:val="none"/>
        </w:rPr>
        <w:t xml:space="preserve"> </w:t>
      </w:r>
    </w:p>
    <w:tbl>
      <w:tblPr>
        <w:tblStyle w:val="Table2"/>
        <w:tblW w:w="9187" w:type="dxa"/>
        <w:jc w:val="left"/>
        <w:tblInd w:w="417" w:type="dxa"/>
        <w:tblCellMar>
          <w:top w:w="100" w:type="dxa"/>
          <w:left w:w="100" w:type="dxa"/>
          <w:bottom w:w="100" w:type="dxa"/>
          <w:right w:w="100" w:type="dxa"/>
        </w:tblCellMar>
        <w:tblLook w:val="0600"/>
      </w:tblPr>
      <w:tblGrid>
        <w:gridCol w:w="1814"/>
        <w:gridCol w:w="1878"/>
        <w:gridCol w:w="992"/>
        <w:gridCol w:w="1444"/>
        <w:gridCol w:w="1345"/>
        <w:gridCol w:w="1713"/>
      </w:tblGrid>
      <w:tr>
        <w:trPr>
          <w:trHeight w:val="715" w:hRule="atLeast"/>
        </w:trPr>
        <w:tc>
          <w:tcPr>
            <w:tcW w:w="1814" w:type="dxa"/>
            <w:tcBorders>
              <w:top w:val="single" w:sz="12" w:space="0" w:color="000000"/>
              <w:left w:val="single" w:sz="8" w:space="0" w:color="FFFFFF"/>
              <w:bottom w:val="single" w:sz="12" w:space="0" w:color="000000"/>
            </w:tcBorders>
            <w:shd w:fill="auto" w:val="clear"/>
            <w:vAlign w:val="center"/>
          </w:tcPr>
          <w:p>
            <w:pPr>
              <w:pStyle w:val="LOnormal"/>
              <w:widowControl w:val="false"/>
              <w:spacing w:lineRule="auto" w:line="240"/>
              <w:jc w:val="center"/>
              <w:rPr>
                <w:b/>
                <w:b/>
              </w:rPr>
            </w:pPr>
            <w:r>
              <w:rPr>
                <w:rFonts w:ascii="arial" w:hAnsi="arial"/>
                <w:b/>
              </w:rPr>
              <w:t>Response</w:t>
            </w:r>
          </w:p>
        </w:tc>
        <w:tc>
          <w:tcPr>
            <w:tcW w:w="1878" w:type="dxa"/>
            <w:tcBorders>
              <w:top w:val="single" w:sz="12" w:space="0" w:color="000000"/>
              <w:left w:val="single" w:sz="8" w:space="0" w:color="FFFFFF"/>
              <w:bottom w:val="single" w:sz="12" w:space="0" w:color="000000"/>
            </w:tcBorders>
            <w:shd w:fill="auto" w:val="clear"/>
            <w:vAlign w:val="center"/>
          </w:tcPr>
          <w:p>
            <w:pPr>
              <w:pStyle w:val="LOnormal"/>
              <w:widowControl w:val="false"/>
              <w:spacing w:lineRule="auto" w:line="240"/>
              <w:jc w:val="center"/>
              <w:rPr>
                <w:b/>
                <w:b/>
              </w:rPr>
            </w:pPr>
            <w:r>
              <w:rPr>
                <w:rFonts w:ascii="arial" w:hAnsi="arial"/>
                <w:b/>
              </w:rPr>
              <w:t>Predictors</w:t>
            </w:r>
          </w:p>
        </w:tc>
        <w:tc>
          <w:tcPr>
            <w:tcW w:w="992" w:type="dxa"/>
            <w:tcBorders>
              <w:top w:val="single" w:sz="12" w:space="0" w:color="000000"/>
              <w:left w:val="single" w:sz="8" w:space="0" w:color="FFFFFF"/>
              <w:bottom w:val="single" w:sz="12" w:space="0" w:color="000000"/>
            </w:tcBorders>
            <w:shd w:fill="auto" w:val="clear"/>
            <w:vAlign w:val="center"/>
          </w:tcPr>
          <w:p>
            <w:pPr>
              <w:pStyle w:val="LOnormal"/>
              <w:jc w:val="center"/>
              <w:rPr>
                <w:b/>
                <w:b/>
              </w:rPr>
            </w:pPr>
            <w:r>
              <w:rPr>
                <w:rFonts w:ascii="arial" w:hAnsi="arial"/>
                <w:b/>
              </w:rPr>
              <w:t>𝛼</w:t>
            </w:r>
          </w:p>
          <w:p>
            <w:pPr>
              <w:pStyle w:val="LOnormal"/>
              <w:jc w:val="center"/>
              <w:rPr>
                <w:b/>
                <w:b/>
              </w:rPr>
            </w:pPr>
            <w:r>
              <w:rPr>
                <w:rFonts w:ascii="arial" w:hAnsi="arial"/>
                <w:b/>
              </w:rPr>
              <w:t>Hybrid effect</w:t>
            </w:r>
          </w:p>
        </w:tc>
        <w:tc>
          <w:tcPr>
            <w:tcW w:w="1444" w:type="dxa"/>
            <w:tcBorders>
              <w:top w:val="single" w:sz="12" w:space="0" w:color="000000"/>
              <w:left w:val="single" w:sz="8" w:space="0" w:color="FFFFFF"/>
              <w:bottom w:val="single" w:sz="12" w:space="0" w:color="000000"/>
            </w:tcBorders>
            <w:shd w:fill="auto" w:val="clear"/>
            <w:vAlign w:val="center"/>
          </w:tcPr>
          <w:p>
            <w:pPr>
              <w:pStyle w:val="LOnormal"/>
              <w:widowControl w:val="false"/>
              <w:spacing w:lineRule="auto" w:line="240"/>
              <w:jc w:val="center"/>
              <w:rPr>
                <w:b/>
                <w:b/>
                <w:i/>
                <w:i/>
              </w:rPr>
            </w:pPr>
            <w:r>
              <w:rPr>
                <w:rFonts w:ascii="arial" w:hAnsi="arial"/>
                <w:b/>
              </w:rPr>
              <w:t xml:space="preserve">Richness </w:t>
            </w:r>
            <w:r>
              <w:rPr>
                <w:rFonts w:ascii="arial" w:hAnsi="arial"/>
                <w:b/>
                <w:i/>
              </w:rPr>
              <w:t>Mmd</w:t>
            </w:r>
          </w:p>
        </w:tc>
        <w:tc>
          <w:tcPr>
            <w:tcW w:w="1345" w:type="dxa"/>
            <w:tcBorders>
              <w:top w:val="single" w:sz="12" w:space="0" w:color="000000"/>
              <w:left w:val="single" w:sz="8" w:space="0" w:color="FFFFFF"/>
              <w:bottom w:val="single" w:sz="12" w:space="0" w:color="000000"/>
            </w:tcBorders>
            <w:shd w:fill="auto" w:val="clear"/>
            <w:vAlign w:val="center"/>
          </w:tcPr>
          <w:p>
            <w:pPr>
              <w:pStyle w:val="LOnormal"/>
              <w:widowControl w:val="false"/>
              <w:spacing w:lineRule="auto" w:line="240"/>
              <w:jc w:val="center"/>
              <w:rPr>
                <w:b/>
                <w:b/>
              </w:rPr>
            </w:pPr>
            <w:r>
              <w:rPr>
                <w:rFonts w:ascii="arial" w:hAnsi="arial"/>
                <w:b/>
              </w:rPr>
              <w:t xml:space="preserve">Richness </w:t>
            </w:r>
            <w:r>
              <w:rPr>
                <w:rFonts w:ascii="arial" w:hAnsi="arial"/>
                <w:b/>
                <w:i/>
              </w:rPr>
              <w:t>Mmm</w:t>
            </w:r>
          </w:p>
        </w:tc>
        <w:tc>
          <w:tcPr>
            <w:tcW w:w="1713" w:type="dxa"/>
            <w:tcBorders>
              <w:top w:val="single" w:sz="12" w:space="0" w:color="000000"/>
              <w:left w:val="single" w:sz="8" w:space="0" w:color="FFFFFF"/>
              <w:bottom w:val="single" w:sz="12" w:space="0" w:color="000000"/>
              <w:right w:val="single" w:sz="2" w:space="0" w:color="FFFFFF"/>
            </w:tcBorders>
            <w:shd w:fill="auto" w:val="clear"/>
            <w:vAlign w:val="center"/>
          </w:tcPr>
          <w:p>
            <w:pPr>
              <w:pStyle w:val="LOnormal"/>
              <w:widowControl w:val="false"/>
              <w:spacing w:lineRule="auto" w:line="240"/>
              <w:jc w:val="center"/>
              <w:rPr>
                <w:b/>
                <w:b/>
              </w:rPr>
            </w:pPr>
            <w:r>
              <w:rPr>
                <w:rFonts w:ascii="arial" w:hAnsi="arial"/>
                <w:b/>
                <w:i/>
              </w:rPr>
              <w:t xml:space="preserve">padj - </w:t>
            </w:r>
            <w:r>
              <w:rPr>
                <w:rFonts w:ascii="arial" w:hAnsi="arial"/>
                <w:b/>
              </w:rPr>
              <w:t>value of hybrid effect</w:t>
            </w:r>
          </w:p>
        </w:tc>
      </w:tr>
      <w:tr>
        <w:trPr>
          <w:trHeight w:val="715" w:hRule="atLeast"/>
        </w:trPr>
        <w:tc>
          <w:tcPr>
            <w:tcW w:w="9186" w:type="dxa"/>
            <w:gridSpan w:val="6"/>
            <w:tcBorders>
              <w:top w:val="single" w:sz="12" w:space="0" w:color="000000"/>
              <w:left w:val="single" w:sz="8" w:space="0" w:color="FFFFFF"/>
              <w:bottom w:val="single" w:sz="12" w:space="0" w:color="000000"/>
              <w:right w:val="single" w:sz="2" w:space="0" w:color="FFFFFF"/>
            </w:tcBorders>
            <w:shd w:fill="CCCCCC" w:val="clear"/>
            <w:vAlign w:val="center"/>
          </w:tcPr>
          <w:p>
            <w:pPr>
              <w:pStyle w:val="LOnormal"/>
              <w:widowControl w:val="false"/>
              <w:spacing w:lineRule="auto" w:line="240"/>
              <w:jc w:val="center"/>
              <w:rPr>
                <w:b/>
                <w:b/>
                <w:i/>
                <w:i/>
              </w:rPr>
            </w:pPr>
            <w:r>
              <w:rPr>
                <w:rFonts w:ascii="arial" w:hAnsi="arial"/>
                <w:b/>
                <w:i/>
              </w:rPr>
              <w:t>Bacteria</w:t>
            </w:r>
          </w:p>
        </w:tc>
      </w:tr>
      <w:tr>
        <w:trPr>
          <w:trHeight w:val="715" w:hRule="atLeast"/>
        </w:trPr>
        <w:tc>
          <w:tcPr>
            <w:tcW w:w="1814"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eastAsia="Noto Serif CJK SC" w:cs="Lohit Devanagari" w:ascii="arial" w:hAnsi="arial"/>
                <w:color w:val="auto"/>
                <w:kern w:val="2"/>
                <w:sz w:val="24"/>
                <w:szCs w:val="24"/>
                <w:lang w:val="en-US" w:eastAsia="zh-CN" w:bidi="hi-IN"/>
              </w:rPr>
              <w:t>Diversity</w:t>
            </w:r>
            <w:r>
              <w:rPr>
                <w:rFonts w:ascii="arial" w:hAnsi="arial"/>
              </w:rPr>
              <w:t xml:space="preserve"> </w:t>
            </w:r>
          </w:p>
          <w:p>
            <w:pPr>
              <w:pStyle w:val="LOnormal"/>
              <w:widowControl w:val="false"/>
              <w:spacing w:lineRule="auto" w:line="240"/>
              <w:jc w:val="center"/>
              <w:rPr>
                <w:rFonts w:ascii="arial" w:hAnsi="arial"/>
              </w:rPr>
            </w:pPr>
            <w:r>
              <w:rPr>
                <w:rFonts w:ascii="arial" w:hAnsi="arial"/>
              </w:rPr>
              <w:t>(</w:t>
            </w:r>
            <w:r>
              <w:rPr>
                <w:rFonts w:eastAsia="Noto Serif CJK SC" w:cs="Lohit Devanagari" w:ascii="arial" w:hAnsi="arial"/>
                <w:color w:val="auto"/>
                <w:kern w:val="2"/>
                <w:sz w:val="24"/>
                <w:szCs w:val="24"/>
                <w:lang w:val="en-US" w:eastAsia="zh-CN" w:bidi="hi-IN"/>
              </w:rPr>
              <w:t>Shannon index</w:t>
            </w:r>
            <w:r>
              <w:rPr>
                <w:rFonts w:ascii="arial" w:hAnsi="arial"/>
              </w:rPr>
              <w:t>)</w:t>
            </w:r>
          </w:p>
        </w:tc>
        <w:tc>
          <w:tcPr>
            <w:tcW w:w="1878"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Parental subspecies</w:t>
            </w:r>
          </w:p>
        </w:tc>
        <w:tc>
          <w:tcPr>
            <w:tcW w:w="992"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0.027</w:t>
            </w:r>
          </w:p>
        </w:tc>
        <w:tc>
          <w:tcPr>
            <w:tcW w:w="1444"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2.92</w:t>
            </w:r>
          </w:p>
        </w:tc>
        <w:tc>
          <w:tcPr>
            <w:tcW w:w="1345"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2.79</w:t>
            </w:r>
          </w:p>
        </w:tc>
        <w:tc>
          <w:tcPr>
            <w:tcW w:w="1713" w:type="dxa"/>
            <w:tcBorders>
              <w:top w:val="single" w:sz="12" w:space="0" w:color="000000"/>
              <w:left w:val="single" w:sz="8" w:space="0" w:color="FFFFFF"/>
              <w:bottom w:val="single" w:sz="4" w:space="0" w:color="000000"/>
              <w:right w:val="single" w:sz="2" w:space="0" w:color="FFFFFF"/>
            </w:tcBorders>
            <w:shd w:fill="auto" w:val="clear"/>
            <w:vAlign w:val="center"/>
          </w:tcPr>
          <w:p>
            <w:pPr>
              <w:pStyle w:val="LOnormal"/>
              <w:widowControl w:val="false"/>
              <w:spacing w:lineRule="auto" w:line="240"/>
              <w:jc w:val="center"/>
              <w:rPr>
                <w:rFonts w:ascii="arial" w:hAnsi="arial"/>
              </w:rPr>
            </w:pPr>
            <w:r>
              <w:rPr>
                <w:rFonts w:ascii="arial" w:hAnsi="arial"/>
              </w:rPr>
              <w:t>0.732 NS</w:t>
            </w:r>
          </w:p>
        </w:tc>
      </w:tr>
      <w:tr>
        <w:trPr>
          <w:trHeight w:val="715" w:hRule="atLeast"/>
        </w:trPr>
        <w:tc>
          <w:tcPr>
            <w:tcW w:w="1814" w:type="dxa"/>
            <w:vMerge w:val="restart"/>
            <w:tcBorders>
              <w:top w:val="single" w:sz="4"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eastAsia="Noto Serif CJK SC" w:cs="Lohit Devanagari" w:ascii="arial" w:hAnsi="arial"/>
                <w:color w:val="auto"/>
                <w:kern w:val="2"/>
                <w:sz w:val="24"/>
                <w:szCs w:val="24"/>
                <w:lang w:val="en-US" w:eastAsia="zh-CN" w:bidi="hi-IN"/>
              </w:rPr>
              <w:t>Diversity</w:t>
            </w:r>
            <w:r>
              <w:rPr>
                <w:rFonts w:ascii="arial" w:hAnsi="arial"/>
              </w:rPr>
              <w:t xml:space="preserve"> </w:t>
            </w:r>
          </w:p>
          <w:p>
            <w:pPr>
              <w:pStyle w:val="LOnormal"/>
              <w:widowControl w:val="false"/>
              <w:spacing w:lineRule="auto" w:line="240"/>
              <w:jc w:val="center"/>
              <w:rPr>
                <w:rFonts w:ascii="arial" w:hAnsi="arial"/>
              </w:rPr>
            </w:pPr>
            <w:r>
              <w:rPr>
                <w:rFonts w:ascii="arial" w:hAnsi="arial"/>
              </w:rPr>
              <w:t>(</w:t>
            </w:r>
            <w:r>
              <w:rPr>
                <w:rFonts w:eastAsia="Noto Serif CJK SC" w:cs="Lohit Devanagari" w:ascii="arial" w:hAnsi="arial"/>
                <w:color w:val="auto"/>
                <w:kern w:val="2"/>
                <w:sz w:val="24"/>
                <w:szCs w:val="24"/>
                <w:lang w:val="en-US" w:eastAsia="zh-CN" w:bidi="hi-IN"/>
              </w:rPr>
              <w:t>Shannon index</w:t>
            </w:r>
            <w:r>
              <w:rPr>
                <w:rFonts w:ascii="arial" w:hAnsi="arial"/>
              </w:rPr>
              <w:t>)</w:t>
            </w:r>
          </w:p>
          <w:p>
            <w:pPr>
              <w:pStyle w:val="LOnormal"/>
              <w:widowControl w:val="false"/>
              <w:spacing w:lineRule="auto" w:line="240"/>
              <w:jc w:val="center"/>
              <w:rPr>
                <w:rFonts w:ascii="arial" w:hAnsi="arial"/>
              </w:rPr>
            </w:pPr>
            <w:r>
              <w:rPr>
                <w:rFonts w:ascii="arial" w:hAnsi="arial"/>
              </w:rPr>
            </w:r>
          </w:p>
        </w:tc>
        <w:tc>
          <w:tcPr>
            <w:tcW w:w="1878" w:type="dxa"/>
            <w:tcBorders>
              <w:top w:val="single" w:sz="4"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Parental subspecies and transect</w:t>
            </w:r>
          </w:p>
          <w:p>
            <w:pPr>
              <w:pStyle w:val="LOnormal"/>
              <w:widowControl w:val="false"/>
              <w:spacing w:lineRule="auto" w:line="240"/>
              <w:jc w:val="center"/>
              <w:rPr>
                <w:b/>
                <w:b/>
              </w:rPr>
            </w:pPr>
            <w:r>
              <w:rPr>
                <w:rFonts w:ascii="arial" w:hAnsi="arial"/>
                <w:b/>
              </w:rPr>
              <w:t xml:space="preserve">(Bavaria </w:t>
            </w:r>
            <w:r>
              <w:rPr>
                <w:rFonts w:ascii="arial" w:hAnsi="arial"/>
                <w:b/>
                <w:i/>
                <w:iCs/>
              </w:rPr>
              <w:t>N</w:t>
            </w:r>
            <w:r>
              <w:rPr>
                <w:rFonts w:ascii="arial" w:hAnsi="arial"/>
                <w:b/>
              </w:rPr>
              <w:t>=52)</w:t>
            </w:r>
          </w:p>
        </w:tc>
        <w:tc>
          <w:tcPr>
            <w:tcW w:w="992" w:type="dxa"/>
            <w:tcBorders>
              <w:top w:val="single" w:sz="4"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0.576</w:t>
            </w:r>
          </w:p>
        </w:tc>
        <w:tc>
          <w:tcPr>
            <w:tcW w:w="1444" w:type="dxa"/>
            <w:tcBorders>
              <w:top w:val="single" w:sz="4"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2.63</w:t>
            </w:r>
          </w:p>
        </w:tc>
        <w:tc>
          <w:tcPr>
            <w:tcW w:w="1345" w:type="dxa"/>
            <w:tcBorders>
              <w:top w:val="single" w:sz="4"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2.07</w:t>
            </w:r>
          </w:p>
        </w:tc>
        <w:tc>
          <w:tcPr>
            <w:tcW w:w="1713" w:type="dxa"/>
            <w:tcBorders>
              <w:top w:val="single" w:sz="4" w:space="0" w:color="000000"/>
              <w:left w:val="single" w:sz="8" w:space="0" w:color="FFFFFF"/>
              <w:bottom w:val="single" w:sz="4" w:space="0" w:color="000000"/>
              <w:right w:val="single" w:sz="2" w:space="0" w:color="FFFFFF"/>
            </w:tcBorders>
            <w:shd w:fill="auto" w:val="clear"/>
            <w:vAlign w:val="center"/>
          </w:tcPr>
          <w:p>
            <w:pPr>
              <w:pStyle w:val="LOnormal"/>
              <w:widowControl w:val="false"/>
              <w:spacing w:lineRule="auto" w:line="240"/>
              <w:jc w:val="center"/>
              <w:rPr>
                <w:rFonts w:ascii="arial" w:hAnsi="arial"/>
              </w:rPr>
            </w:pPr>
            <w:r>
              <w:rPr>
                <w:rFonts w:ascii="arial" w:hAnsi="arial"/>
              </w:rPr>
              <w:t>0.024 *</w:t>
            </w:r>
          </w:p>
        </w:tc>
      </w:tr>
      <w:tr>
        <w:trPr>
          <w:trHeight w:val="715" w:hRule="atLeast"/>
        </w:trPr>
        <w:tc>
          <w:tcPr>
            <w:tcW w:w="1814" w:type="dxa"/>
            <w:vMerge w:val="continue"/>
            <w:tcBorders>
              <w:top w:val="single" w:sz="4"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r>
          </w:p>
        </w:tc>
        <w:tc>
          <w:tcPr>
            <w:tcW w:w="1878" w:type="dxa"/>
            <w:tcBorders>
              <w:top w:val="single" w:sz="4"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Parental subspecies and transect</w:t>
            </w:r>
          </w:p>
          <w:p>
            <w:pPr>
              <w:pStyle w:val="LOnormal"/>
              <w:widowControl w:val="false"/>
              <w:spacing w:lineRule="auto" w:line="240"/>
              <w:jc w:val="center"/>
              <w:rPr>
                <w:b/>
                <w:b/>
              </w:rPr>
            </w:pPr>
            <w:r>
              <w:rPr>
                <w:rFonts w:ascii="arial" w:hAnsi="arial"/>
                <w:b/>
              </w:rPr>
              <w:t xml:space="preserve">(Brandenburg </w:t>
            </w:r>
            <w:r>
              <w:rPr>
                <w:rFonts w:ascii="arial" w:hAnsi="arial"/>
                <w:b/>
                <w:i/>
                <w:iCs/>
              </w:rPr>
              <w:t>N</w:t>
            </w:r>
            <w:r>
              <w:rPr>
                <w:rFonts w:ascii="arial" w:hAnsi="arial"/>
                <w:b/>
              </w:rPr>
              <w:t>= 441)</w:t>
            </w:r>
          </w:p>
        </w:tc>
        <w:tc>
          <w:tcPr>
            <w:tcW w:w="992" w:type="dxa"/>
            <w:tcBorders>
              <w:top w:val="single" w:sz="4"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0.005</w:t>
            </w:r>
          </w:p>
        </w:tc>
        <w:tc>
          <w:tcPr>
            <w:tcW w:w="1444" w:type="dxa"/>
            <w:tcBorders>
              <w:top w:val="single" w:sz="4"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2.937</w:t>
            </w:r>
          </w:p>
        </w:tc>
        <w:tc>
          <w:tcPr>
            <w:tcW w:w="1345" w:type="dxa"/>
            <w:tcBorders>
              <w:top w:val="single" w:sz="4"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2.830</w:t>
            </w:r>
          </w:p>
        </w:tc>
        <w:tc>
          <w:tcPr>
            <w:tcW w:w="1713" w:type="dxa"/>
            <w:tcBorders>
              <w:top w:val="single" w:sz="4" w:space="0" w:color="000000"/>
              <w:left w:val="single" w:sz="8" w:space="0" w:color="FFFFFF"/>
              <w:bottom w:val="single" w:sz="12" w:space="0" w:color="000000"/>
              <w:right w:val="single" w:sz="2" w:space="0" w:color="FFFFFF"/>
            </w:tcBorders>
            <w:shd w:fill="auto" w:val="clear"/>
            <w:vAlign w:val="center"/>
          </w:tcPr>
          <w:p>
            <w:pPr>
              <w:pStyle w:val="LOnormal"/>
              <w:widowControl w:val="false"/>
              <w:spacing w:lineRule="auto" w:line="240"/>
              <w:jc w:val="center"/>
              <w:rPr>
                <w:rFonts w:ascii="arial" w:hAnsi="arial"/>
              </w:rPr>
            </w:pPr>
            <w:r>
              <w:rPr>
                <w:rFonts w:ascii="arial" w:hAnsi="arial"/>
              </w:rPr>
              <w:t>0.925 NS</w:t>
            </w:r>
          </w:p>
        </w:tc>
      </w:tr>
      <w:tr>
        <w:trPr>
          <w:trHeight w:val="715" w:hRule="atLeast"/>
        </w:trPr>
        <w:tc>
          <w:tcPr>
            <w:tcW w:w="9186" w:type="dxa"/>
            <w:gridSpan w:val="6"/>
            <w:tcBorders>
              <w:top w:val="single" w:sz="12" w:space="0" w:color="000000"/>
              <w:left w:val="single" w:sz="8" w:space="0" w:color="FFFFFF"/>
              <w:bottom w:val="single" w:sz="12" w:space="0" w:color="000000"/>
              <w:right w:val="single" w:sz="2" w:space="0" w:color="FFFFFF"/>
            </w:tcBorders>
            <w:shd w:fill="CCCCCC" w:val="clear"/>
            <w:vAlign w:val="center"/>
          </w:tcPr>
          <w:p>
            <w:pPr>
              <w:pStyle w:val="LOnormal"/>
              <w:widowControl w:val="false"/>
              <w:spacing w:lineRule="auto" w:line="240"/>
              <w:jc w:val="center"/>
              <w:rPr>
                <w:b/>
                <w:b/>
                <w:i/>
                <w:i/>
              </w:rPr>
            </w:pPr>
            <w:r>
              <w:rPr>
                <w:rFonts w:ascii="arial" w:hAnsi="arial"/>
                <w:b/>
                <w:i/>
              </w:rPr>
              <w:t>Antimicrobial resistance genes (ARG)</w:t>
            </w:r>
          </w:p>
        </w:tc>
      </w:tr>
      <w:tr>
        <w:trPr>
          <w:trHeight w:val="715" w:hRule="atLeast"/>
        </w:trPr>
        <w:tc>
          <w:tcPr>
            <w:tcW w:w="1814"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eastAsia="Noto Serif CJK SC" w:cs="Lohit Devanagari" w:ascii="arial" w:hAnsi="arial"/>
                <w:color w:val="auto"/>
                <w:kern w:val="2"/>
                <w:sz w:val="24"/>
                <w:szCs w:val="24"/>
                <w:lang w:val="en-US" w:eastAsia="zh-CN" w:bidi="hi-IN"/>
              </w:rPr>
              <w:t>Diversity</w:t>
            </w:r>
            <w:r>
              <w:rPr>
                <w:rFonts w:ascii="arial" w:hAnsi="arial"/>
              </w:rPr>
              <w:t xml:space="preserve"> </w:t>
            </w:r>
          </w:p>
          <w:p>
            <w:pPr>
              <w:pStyle w:val="LOnormal"/>
              <w:widowControl w:val="false"/>
              <w:spacing w:lineRule="auto" w:line="240"/>
              <w:jc w:val="center"/>
              <w:rPr>
                <w:rFonts w:ascii="arial" w:hAnsi="arial"/>
              </w:rPr>
            </w:pPr>
            <w:r>
              <w:rPr>
                <w:rFonts w:ascii="arial" w:hAnsi="arial"/>
              </w:rPr>
              <w:t>(</w:t>
            </w:r>
            <w:r>
              <w:rPr>
                <w:rFonts w:eastAsia="Noto Serif CJK SC" w:cs="Lohit Devanagari" w:ascii="arial" w:hAnsi="arial"/>
                <w:color w:val="auto"/>
                <w:kern w:val="2"/>
                <w:sz w:val="24"/>
                <w:szCs w:val="24"/>
                <w:lang w:val="en-US" w:eastAsia="zh-CN" w:bidi="hi-IN"/>
              </w:rPr>
              <w:t>Shannon index</w:t>
            </w:r>
            <w:r>
              <w:rPr>
                <w:rFonts w:ascii="arial" w:hAnsi="arial"/>
              </w:rPr>
              <w:t>)</w:t>
            </w:r>
          </w:p>
        </w:tc>
        <w:tc>
          <w:tcPr>
            <w:tcW w:w="1878"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Parental subspecies</w:t>
            </w:r>
          </w:p>
        </w:tc>
        <w:tc>
          <w:tcPr>
            <w:tcW w:w="992"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0.102</w:t>
            </w:r>
          </w:p>
        </w:tc>
        <w:tc>
          <w:tcPr>
            <w:tcW w:w="1444"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2.63</w:t>
            </w:r>
          </w:p>
        </w:tc>
        <w:tc>
          <w:tcPr>
            <w:tcW w:w="1345" w:type="dxa"/>
            <w:tcBorders>
              <w:top w:val="single" w:sz="12" w:space="0" w:color="000000"/>
              <w:left w:val="single" w:sz="8" w:space="0" w:color="FFFFFF"/>
              <w:bottom w:val="single" w:sz="4" w:space="0" w:color="000000"/>
            </w:tcBorders>
            <w:shd w:fill="auto" w:val="clear"/>
            <w:vAlign w:val="center"/>
          </w:tcPr>
          <w:p>
            <w:pPr>
              <w:pStyle w:val="LOnormal"/>
              <w:widowControl w:val="false"/>
              <w:spacing w:lineRule="auto" w:line="240"/>
              <w:jc w:val="center"/>
              <w:rPr>
                <w:rFonts w:ascii="arial" w:hAnsi="arial"/>
              </w:rPr>
            </w:pPr>
            <w:r>
              <w:rPr>
                <w:rFonts w:ascii="arial" w:hAnsi="arial"/>
              </w:rPr>
              <w:t>2.54</w:t>
            </w:r>
          </w:p>
        </w:tc>
        <w:tc>
          <w:tcPr>
            <w:tcW w:w="1713" w:type="dxa"/>
            <w:tcBorders>
              <w:top w:val="single" w:sz="12" w:space="0" w:color="000000"/>
              <w:left w:val="single" w:sz="8" w:space="0" w:color="FFFFFF"/>
              <w:bottom w:val="single" w:sz="4" w:space="0" w:color="000000"/>
              <w:right w:val="single" w:sz="2" w:space="0" w:color="FFFFFF"/>
            </w:tcBorders>
            <w:shd w:fill="auto" w:val="clear"/>
            <w:vAlign w:val="center"/>
          </w:tcPr>
          <w:p>
            <w:pPr>
              <w:pStyle w:val="LOnormal"/>
              <w:widowControl w:val="false"/>
              <w:spacing w:lineRule="auto" w:line="240"/>
              <w:jc w:val="center"/>
              <w:rPr>
                <w:rFonts w:ascii="arial" w:hAnsi="arial"/>
              </w:rPr>
            </w:pPr>
            <w:r>
              <w:rPr>
                <w:rFonts w:ascii="arial" w:hAnsi="arial"/>
              </w:rPr>
              <w:t>0.041 *</w:t>
            </w:r>
          </w:p>
        </w:tc>
      </w:tr>
      <w:tr>
        <w:trPr>
          <w:trHeight w:val="715" w:hRule="atLeast"/>
        </w:trPr>
        <w:tc>
          <w:tcPr>
            <w:tcW w:w="1814" w:type="dxa"/>
            <w:vMerge w:val="restart"/>
            <w:tcBorders>
              <w:top w:val="single" w:sz="4" w:space="0" w:color="000000"/>
              <w:left w:val="single" w:sz="8" w:space="0" w:color="FFFFFF"/>
              <w:bottom w:val="single" w:sz="8" w:space="0" w:color="000000"/>
            </w:tcBorders>
            <w:shd w:fill="auto" w:val="clear"/>
            <w:vAlign w:val="center"/>
          </w:tcPr>
          <w:p>
            <w:pPr>
              <w:pStyle w:val="LOnormal"/>
              <w:widowControl w:val="false"/>
              <w:spacing w:lineRule="auto" w:line="240"/>
              <w:jc w:val="center"/>
              <w:rPr>
                <w:rFonts w:ascii="arial" w:hAnsi="arial"/>
              </w:rPr>
            </w:pPr>
            <w:r>
              <w:rPr>
                <w:rFonts w:eastAsia="Noto Serif CJK SC" w:cs="Lohit Devanagari" w:ascii="arial" w:hAnsi="arial"/>
                <w:color w:val="auto"/>
                <w:kern w:val="2"/>
                <w:sz w:val="24"/>
                <w:szCs w:val="24"/>
                <w:lang w:val="en-US" w:eastAsia="zh-CN" w:bidi="hi-IN"/>
              </w:rPr>
              <w:t>Diversity</w:t>
            </w:r>
            <w:r>
              <w:rPr>
                <w:rFonts w:ascii="arial" w:hAnsi="arial"/>
              </w:rPr>
              <w:t xml:space="preserve"> </w:t>
            </w:r>
          </w:p>
          <w:p>
            <w:pPr>
              <w:pStyle w:val="LOnormal"/>
              <w:widowControl w:val="false"/>
              <w:spacing w:lineRule="auto" w:line="240"/>
              <w:jc w:val="center"/>
              <w:rPr>
                <w:rFonts w:ascii="arial" w:hAnsi="arial"/>
              </w:rPr>
            </w:pPr>
            <w:r>
              <w:rPr>
                <w:rFonts w:ascii="arial" w:hAnsi="arial"/>
              </w:rPr>
              <w:t>(</w:t>
            </w:r>
            <w:r>
              <w:rPr>
                <w:rFonts w:eastAsia="Noto Serif CJK SC" w:cs="Lohit Devanagari" w:ascii="arial" w:hAnsi="arial"/>
                <w:color w:val="auto"/>
                <w:kern w:val="2"/>
                <w:sz w:val="24"/>
                <w:szCs w:val="24"/>
                <w:lang w:val="en-US" w:eastAsia="zh-CN" w:bidi="hi-IN"/>
              </w:rPr>
              <w:t>Shannon index</w:t>
            </w:r>
            <w:r>
              <w:rPr>
                <w:rFonts w:ascii="arial" w:hAnsi="arial"/>
              </w:rPr>
              <w:t>)</w:t>
            </w:r>
          </w:p>
        </w:tc>
        <w:tc>
          <w:tcPr>
            <w:tcW w:w="1878" w:type="dxa"/>
            <w:tcBorders>
              <w:top w:val="single" w:sz="4" w:space="0" w:color="000000"/>
              <w:left w:val="single" w:sz="8" w:space="0" w:color="FFFFFF"/>
              <w:bottom w:val="single" w:sz="8" w:space="0" w:color="000000"/>
            </w:tcBorders>
            <w:shd w:fill="auto" w:val="clear"/>
            <w:vAlign w:val="center"/>
          </w:tcPr>
          <w:p>
            <w:pPr>
              <w:pStyle w:val="LOnormal"/>
              <w:widowControl w:val="false"/>
              <w:spacing w:lineRule="auto" w:line="240"/>
              <w:jc w:val="center"/>
              <w:rPr>
                <w:rFonts w:ascii="arial" w:hAnsi="arial"/>
              </w:rPr>
            </w:pPr>
            <w:r>
              <w:rPr>
                <w:rFonts w:ascii="arial" w:hAnsi="arial"/>
              </w:rPr>
              <w:t>Parental subspecies and transect</w:t>
            </w:r>
          </w:p>
          <w:p>
            <w:pPr>
              <w:pStyle w:val="LOnormal"/>
              <w:widowControl w:val="false"/>
              <w:spacing w:lineRule="auto" w:line="240"/>
              <w:jc w:val="center"/>
              <w:rPr>
                <w:rFonts w:ascii="arial" w:hAnsi="arial"/>
              </w:rPr>
            </w:pPr>
            <w:r>
              <w:rPr>
                <w:rFonts w:ascii="arial" w:hAnsi="arial"/>
                <w:b/>
              </w:rPr>
              <w:t xml:space="preserve">(Bavaria </w:t>
            </w:r>
            <w:r>
              <w:rPr>
                <w:rFonts w:ascii="arial" w:hAnsi="arial"/>
                <w:b/>
                <w:i/>
                <w:iCs/>
              </w:rPr>
              <w:t>N</w:t>
            </w:r>
            <w:r>
              <w:rPr>
                <w:rFonts w:ascii="arial" w:hAnsi="arial"/>
                <w:b/>
              </w:rPr>
              <w:t>=52)</w:t>
            </w:r>
          </w:p>
        </w:tc>
        <w:tc>
          <w:tcPr>
            <w:tcW w:w="992" w:type="dxa"/>
            <w:tcBorders>
              <w:top w:val="single" w:sz="4" w:space="0" w:color="000000"/>
              <w:left w:val="single" w:sz="8" w:space="0" w:color="FFFFFF"/>
              <w:bottom w:val="single" w:sz="8" w:space="0" w:color="000000"/>
            </w:tcBorders>
            <w:shd w:fill="auto" w:val="clear"/>
            <w:vAlign w:val="center"/>
          </w:tcPr>
          <w:p>
            <w:pPr>
              <w:pStyle w:val="LOnormal"/>
              <w:widowControl w:val="false"/>
              <w:spacing w:lineRule="auto" w:line="240"/>
              <w:jc w:val="center"/>
              <w:rPr>
                <w:rFonts w:ascii="arial" w:hAnsi="arial"/>
              </w:rPr>
            </w:pPr>
            <w:r>
              <w:rPr>
                <w:rFonts w:ascii="arial" w:hAnsi="arial"/>
              </w:rPr>
              <w:t>0.405</w:t>
            </w:r>
          </w:p>
        </w:tc>
        <w:tc>
          <w:tcPr>
            <w:tcW w:w="1444" w:type="dxa"/>
            <w:tcBorders>
              <w:top w:val="single" w:sz="4" w:space="0" w:color="000000"/>
              <w:left w:val="single" w:sz="8" w:space="0" w:color="FFFFFF"/>
              <w:bottom w:val="single" w:sz="8" w:space="0" w:color="000000"/>
            </w:tcBorders>
            <w:shd w:fill="auto" w:val="clear"/>
            <w:vAlign w:val="center"/>
          </w:tcPr>
          <w:p>
            <w:pPr>
              <w:pStyle w:val="LOnormal"/>
              <w:widowControl w:val="false"/>
              <w:spacing w:lineRule="auto" w:line="240"/>
              <w:jc w:val="center"/>
              <w:rPr>
                <w:rFonts w:ascii="arial" w:hAnsi="arial"/>
              </w:rPr>
            </w:pPr>
            <w:r>
              <w:rPr>
                <w:rFonts w:ascii="arial" w:hAnsi="arial"/>
              </w:rPr>
              <w:t>2.41</w:t>
            </w:r>
          </w:p>
        </w:tc>
        <w:tc>
          <w:tcPr>
            <w:tcW w:w="1345" w:type="dxa"/>
            <w:tcBorders>
              <w:top w:val="single" w:sz="4" w:space="0" w:color="000000"/>
              <w:left w:val="single" w:sz="8" w:space="0" w:color="FFFFFF"/>
              <w:bottom w:val="single" w:sz="8" w:space="0" w:color="000000"/>
            </w:tcBorders>
            <w:shd w:fill="auto" w:val="clear"/>
            <w:vAlign w:val="center"/>
          </w:tcPr>
          <w:p>
            <w:pPr>
              <w:pStyle w:val="LOnormal"/>
              <w:widowControl w:val="false"/>
              <w:spacing w:lineRule="auto" w:line="240"/>
              <w:jc w:val="center"/>
              <w:rPr>
                <w:rFonts w:ascii="arial" w:hAnsi="arial"/>
              </w:rPr>
            </w:pPr>
            <w:r>
              <w:rPr>
                <w:rFonts w:ascii="arial" w:hAnsi="arial"/>
              </w:rPr>
              <w:t>2.30</w:t>
            </w:r>
          </w:p>
        </w:tc>
        <w:tc>
          <w:tcPr>
            <w:tcW w:w="1713" w:type="dxa"/>
            <w:tcBorders>
              <w:top w:val="single" w:sz="4" w:space="0" w:color="000000"/>
              <w:left w:val="single" w:sz="8" w:space="0" w:color="FFFFFF"/>
              <w:bottom w:val="single" w:sz="8" w:space="0" w:color="000000"/>
              <w:right w:val="single" w:sz="2" w:space="0" w:color="FFFFFF"/>
            </w:tcBorders>
            <w:shd w:fill="auto" w:val="clear"/>
            <w:vAlign w:val="center"/>
          </w:tcPr>
          <w:p>
            <w:pPr>
              <w:pStyle w:val="LOnormal"/>
              <w:widowControl w:val="false"/>
              <w:spacing w:lineRule="auto" w:line="240"/>
              <w:jc w:val="center"/>
              <w:rPr>
                <w:rFonts w:ascii="arial" w:hAnsi="arial"/>
              </w:rPr>
            </w:pPr>
            <w:r>
              <w:rPr>
                <w:rFonts w:ascii="arial" w:hAnsi="arial"/>
              </w:rPr>
              <w:t>0.042 *</w:t>
            </w:r>
          </w:p>
        </w:tc>
      </w:tr>
      <w:tr>
        <w:trPr>
          <w:trHeight w:val="715" w:hRule="atLeast"/>
        </w:trPr>
        <w:tc>
          <w:tcPr>
            <w:tcW w:w="1814" w:type="dxa"/>
            <w:vMerge w:val="continue"/>
            <w:tcBorders>
              <w:top w:val="single" w:sz="8"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r>
          </w:p>
        </w:tc>
        <w:tc>
          <w:tcPr>
            <w:tcW w:w="1878" w:type="dxa"/>
            <w:tcBorders>
              <w:top w:val="single" w:sz="8"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Parental subspecies and transect</w:t>
            </w:r>
          </w:p>
          <w:p>
            <w:pPr>
              <w:pStyle w:val="LOnormal"/>
              <w:widowControl w:val="false"/>
              <w:spacing w:lineRule="auto" w:line="240"/>
              <w:jc w:val="center"/>
              <w:rPr>
                <w:rFonts w:ascii="arial" w:hAnsi="arial"/>
              </w:rPr>
            </w:pPr>
            <w:r>
              <w:rPr>
                <w:rFonts w:ascii="arial" w:hAnsi="arial"/>
                <w:b/>
              </w:rPr>
              <w:t xml:space="preserve">(Brandenburg </w:t>
            </w:r>
            <w:r>
              <w:rPr>
                <w:rFonts w:ascii="arial" w:hAnsi="arial"/>
                <w:b/>
                <w:i/>
                <w:iCs/>
              </w:rPr>
              <w:t>N</w:t>
            </w:r>
            <w:r>
              <w:rPr>
                <w:rFonts w:ascii="arial" w:hAnsi="arial"/>
                <w:b/>
              </w:rPr>
              <w:t>= 441)</w:t>
            </w:r>
          </w:p>
        </w:tc>
        <w:tc>
          <w:tcPr>
            <w:tcW w:w="992" w:type="dxa"/>
            <w:tcBorders>
              <w:top w:val="single" w:sz="8"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0.073</w:t>
            </w:r>
          </w:p>
        </w:tc>
        <w:tc>
          <w:tcPr>
            <w:tcW w:w="1444" w:type="dxa"/>
            <w:tcBorders>
              <w:top w:val="single" w:sz="8"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2.65</w:t>
            </w:r>
          </w:p>
        </w:tc>
        <w:tc>
          <w:tcPr>
            <w:tcW w:w="1345" w:type="dxa"/>
            <w:tcBorders>
              <w:top w:val="single" w:sz="8" w:space="0" w:color="000000"/>
              <w:left w:val="single" w:sz="8" w:space="0" w:color="FFFFFF"/>
              <w:bottom w:val="single" w:sz="12" w:space="0" w:color="000000"/>
            </w:tcBorders>
            <w:shd w:fill="auto" w:val="clear"/>
            <w:vAlign w:val="center"/>
          </w:tcPr>
          <w:p>
            <w:pPr>
              <w:pStyle w:val="LOnormal"/>
              <w:widowControl w:val="false"/>
              <w:spacing w:lineRule="auto" w:line="240"/>
              <w:jc w:val="center"/>
              <w:rPr>
                <w:rFonts w:ascii="arial" w:hAnsi="arial"/>
              </w:rPr>
            </w:pPr>
            <w:r>
              <w:rPr>
                <w:rFonts w:ascii="arial" w:hAnsi="arial"/>
              </w:rPr>
              <w:t>2.56</w:t>
            </w:r>
          </w:p>
        </w:tc>
        <w:tc>
          <w:tcPr>
            <w:tcW w:w="1713" w:type="dxa"/>
            <w:tcBorders>
              <w:top w:val="single" w:sz="8" w:space="0" w:color="000000"/>
              <w:left w:val="single" w:sz="8" w:space="0" w:color="FFFFFF"/>
              <w:bottom w:val="single" w:sz="12" w:space="0" w:color="000000"/>
              <w:right w:val="single" w:sz="2" w:space="0" w:color="FFFFFF"/>
            </w:tcBorders>
            <w:shd w:fill="auto" w:val="clear"/>
            <w:vAlign w:val="center"/>
          </w:tcPr>
          <w:p>
            <w:pPr>
              <w:pStyle w:val="LOnormal"/>
              <w:widowControl w:val="false"/>
              <w:spacing w:lineRule="auto" w:line="240"/>
              <w:jc w:val="center"/>
              <w:rPr>
                <w:rFonts w:ascii="arial" w:hAnsi="arial"/>
              </w:rPr>
            </w:pPr>
            <w:r>
              <w:rPr>
                <w:rFonts w:ascii="arial" w:hAnsi="arial"/>
              </w:rPr>
              <w:t>0.059 NS</w:t>
            </w:r>
          </w:p>
        </w:tc>
      </w:tr>
    </w:tbl>
    <w:p>
      <w:pPr>
        <w:pStyle w:val="LOnormal"/>
        <w:shd w:val="clear" w:fill="FFFFFF"/>
        <w:spacing w:lineRule="auto" w:line="276"/>
        <w:jc w:val="both"/>
        <w:rPr>
          <w:rFonts w:ascii="arial" w:hAnsi="arial"/>
          <w:b/>
          <w:b/>
        </w:rPr>
      </w:pPr>
      <w:r>
        <w:rPr>
          <w:rFonts w:ascii="arial" w:hAnsi="arial"/>
          <w:b/>
          <w:i/>
          <w:iCs/>
        </w:rPr>
        <w:t>N</w:t>
      </w:r>
      <w:r>
        <w:rPr>
          <w:rFonts w:ascii="arial" w:hAnsi="arial"/>
          <w:b/>
        </w:rPr>
        <w:t>= Number of localities per transect</w:t>
      </w:r>
    </w:p>
    <w:p>
      <w:pPr>
        <w:pStyle w:val="LOnormal"/>
        <w:shd w:val="clear" w:fill="FFFFFF"/>
        <w:spacing w:lineRule="auto" w:line="276"/>
        <w:jc w:val="both"/>
        <w:rPr>
          <w:rFonts w:ascii="arial" w:hAnsi="arial"/>
          <w:b/>
          <w:b/>
        </w:rPr>
      </w:pPr>
      <w:r>
        <w:rPr>
          <w:rFonts w:ascii="arial" w:hAnsi="arial"/>
          <w:b/>
        </w:rPr>
      </w:r>
    </w:p>
    <w:p>
      <w:pPr>
        <w:pStyle w:val="LOnormal"/>
        <w:shd w:val="clear" w:fill="FFFFFF"/>
        <w:spacing w:lineRule="auto" w:line="276"/>
        <w:jc w:val="both"/>
        <w:rPr>
          <w:rFonts w:ascii="arial" w:hAnsi="arial"/>
          <w:b/>
          <w:b/>
        </w:rPr>
      </w:pPr>
      <w:r>
        <w:rPr>
          <w:rFonts w:ascii="arial" w:hAnsi="arial"/>
          <w:b/>
        </w:rPr>
      </w:r>
    </w:p>
    <w:p>
      <w:pPr>
        <w:pStyle w:val="LOnormal"/>
        <w:shd w:val="clear" w:fill="FFFFFF"/>
        <w:spacing w:lineRule="auto" w:line="276"/>
        <w:jc w:val="both"/>
        <w:rPr>
          <w:rFonts w:ascii="arial" w:hAnsi="arial"/>
          <w:b/>
          <w:b/>
        </w:rPr>
      </w:pPr>
      <w:r>
        <w:rPr>
          <w:rFonts w:ascii="arial" w:hAnsi="arial"/>
          <w:b/>
        </w:rPr>
      </w:r>
    </w:p>
    <w:p>
      <w:pPr>
        <w:pStyle w:val="LOnormal"/>
        <w:shd w:val="clear" w:fill="FFFFFF"/>
        <w:spacing w:lineRule="auto" w:line="276"/>
        <w:jc w:val="both"/>
        <w:rPr>
          <w:rFonts w:ascii="arial" w:hAnsi="arial"/>
          <w:b/>
          <w:b/>
        </w:rPr>
      </w:pPr>
      <w:r>
        <w:rPr>
          <w:rFonts w:ascii="arial" w:hAnsi="arial"/>
          <w:b/>
        </w:rPr>
      </w:r>
    </w:p>
    <w:p>
      <w:pPr>
        <w:pStyle w:val="LOnormal"/>
        <w:shd w:val="clear" w:fill="FFFFFF"/>
        <w:spacing w:lineRule="auto" w:line="276"/>
        <w:jc w:val="both"/>
        <w:rPr>
          <w:rFonts w:ascii="arial" w:hAnsi="arial"/>
          <w:b/>
          <w:b/>
        </w:rPr>
      </w:pPr>
      <w:r>
        <w:rPr>
          <w:rFonts w:ascii="arial" w:hAnsi="arial"/>
          <w:b/>
        </w:rPr>
      </w:r>
    </w:p>
    <w:p>
      <w:pPr>
        <w:pStyle w:val="LOnormal"/>
        <w:shd w:val="clear" w:fill="FFFFFF"/>
        <w:spacing w:lineRule="auto" w:line="276"/>
        <w:jc w:val="both"/>
        <w:rPr/>
      </w:pPr>
      <w:r>
        <w:rPr>
          <w:rFonts w:ascii="arial" w:hAnsi="arial"/>
          <w:b/>
        </w:rPr>
        <w:t>S</w:t>
      </w:r>
      <w: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6120130" cy="3060065"/>
            <wp:effectExtent l="0" t="0" r="0" b="0"/>
            <wp:wrapSquare wrapText="largest"/>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tretch>
                      <a:fillRect/>
                    </a:stretch>
                  </pic:blipFill>
                  <pic:spPr bwMode="auto">
                    <a:xfrm>
                      <a:off x="0" y="0"/>
                      <a:ext cx="6120130" cy="3060065"/>
                    </a:xfrm>
                    <a:prstGeom prst="rect">
                      <a:avLst/>
                    </a:prstGeom>
                  </pic:spPr>
                </pic:pic>
              </a:graphicData>
            </a:graphic>
          </wp:anchor>
        </w:drawing>
      </w:r>
      <w:r>
        <w:rPr>
          <w:rFonts w:ascii="arial" w:hAnsi="arial"/>
          <w:b/>
        </w:rPr>
        <w:t>u</w:t>
      </w:r>
      <w:r>
        <w:rPr>
          <w:rFonts w:ascii="arial" w:hAnsi="arial"/>
          <w:b/>
        </w:rPr>
        <w:t xml:space="preserve">pplement Figure S4.4. </w:t>
      </w:r>
      <w:r>
        <w:rPr>
          <w:rFonts w:ascii="arial" w:hAnsi="arial"/>
          <w:b/>
          <w:bCs/>
          <w:i w:val="false"/>
          <w:caps w:val="false"/>
          <w:smallCaps w:val="false"/>
          <w:strike w:val="false"/>
          <w:dstrike w:val="false"/>
          <w:color w:val="0E101A"/>
          <w:sz w:val="22"/>
          <w:szCs w:val="22"/>
          <w:u w:val="none"/>
          <w:effect w:val="none"/>
        </w:rPr>
        <w:t>Hybrid effect on observed ARG richness and diversity confirm the effect observed for Chao1 ARG richness.</w:t>
      </w:r>
      <w:r>
        <w:rPr>
          <w:rFonts w:ascii="arial" w:hAnsi="arial"/>
          <w:b w:val="false"/>
          <w:i w:val="false"/>
          <w:caps w:val="false"/>
          <w:smallCaps w:val="false"/>
          <w:strike w:val="false"/>
          <w:dstrike w:val="false"/>
          <w:color w:val="0E101A"/>
          <w:sz w:val="22"/>
          <w:szCs w:val="22"/>
          <w:u w:val="none"/>
          <w:effect w:val="none"/>
        </w:rPr>
        <w:t xml:space="preserve"> ARG observed richness predictions and ARG diversity (Shannon index) were compared across a gradient of </w:t>
      </w:r>
      <w:r>
        <w:rPr>
          <w:rFonts w:ascii="arial" w:hAnsi="arial"/>
          <w:b w:val="false"/>
          <w:i/>
          <w:caps w:val="false"/>
          <w:smallCaps w:val="false"/>
          <w:strike w:val="false"/>
          <w:dstrike w:val="false"/>
          <w:color w:val="0E101A"/>
          <w:sz w:val="22"/>
          <w:szCs w:val="22"/>
          <w:u w:val="none"/>
          <w:effect w:val="none"/>
        </w:rPr>
        <w:t xml:space="preserve">Mus musculus </w:t>
      </w:r>
      <w:r>
        <w:rPr>
          <w:rFonts w:ascii="arial" w:hAnsi="arial"/>
          <w:b w:val="false"/>
          <w:i w:val="false"/>
          <w:caps w:val="false"/>
          <w:smallCaps w:val="false"/>
          <w:strike w:val="false"/>
          <w:dstrike w:val="false"/>
          <w:color w:val="0E101A"/>
          <w:sz w:val="22"/>
          <w:szCs w:val="22"/>
          <w:u w:val="none"/>
          <w:effect w:val="none"/>
        </w:rPr>
        <w:t xml:space="preserve">genotypes (HI), ranging from 0 (pure </w:t>
      </w:r>
      <w:r>
        <w:rPr>
          <w:rFonts w:ascii="arial" w:hAnsi="arial"/>
          <w:b w:val="false"/>
          <w:i/>
          <w:caps w:val="false"/>
          <w:smallCaps w:val="false"/>
          <w:strike w:val="false"/>
          <w:dstrike w:val="false"/>
          <w:color w:val="0E101A"/>
          <w:sz w:val="22"/>
          <w:szCs w:val="22"/>
          <w:u w:val="none"/>
          <w:effect w:val="none"/>
        </w:rPr>
        <w:t>M. m. domesticus</w:t>
      </w:r>
      <w:r>
        <w:rPr>
          <w:rFonts w:ascii="arial" w:hAnsi="arial"/>
          <w:b w:val="false"/>
          <w:i w:val="false"/>
          <w:caps w:val="false"/>
          <w:smallCaps w:val="false"/>
          <w:strike w:val="false"/>
          <w:dstrike w:val="false"/>
          <w:color w:val="0E101A"/>
          <w:sz w:val="22"/>
          <w:szCs w:val="22"/>
          <w:u w:val="none"/>
          <w:effect w:val="none"/>
        </w:rPr>
        <w:t xml:space="preserve">, in blue) to 1 (pure </w:t>
      </w:r>
      <w:r>
        <w:rPr>
          <w:rFonts w:ascii="arial" w:hAnsi="arial"/>
          <w:b w:val="false"/>
          <w:i/>
          <w:caps w:val="false"/>
          <w:smallCaps w:val="false"/>
          <w:strike w:val="false"/>
          <w:dstrike w:val="false"/>
          <w:color w:val="0E101A"/>
          <w:sz w:val="22"/>
          <w:szCs w:val="22"/>
          <w:u w:val="none"/>
          <w:effect w:val="none"/>
        </w:rPr>
        <w:t>M. m. musculus</w:t>
      </w:r>
      <w:r>
        <w:rPr>
          <w:rFonts w:ascii="arial" w:hAnsi="arial"/>
          <w:b w:val="false"/>
          <w:i w:val="false"/>
          <w:caps w:val="false"/>
          <w:smallCaps w:val="false"/>
          <w:strike w:val="false"/>
          <w:dstrike w:val="false"/>
          <w:color w:val="0E101A"/>
          <w:sz w:val="22"/>
          <w:szCs w:val="22"/>
          <w:u w:val="none"/>
          <w:effect w:val="none"/>
        </w:rPr>
        <w:t xml:space="preserve">, in red), to (i) test hybrid effect on alpha diversity and (ii) detect differences on alpha diversity between parental subspecies, transects or both. The observed richness </w:t>
      </w:r>
      <w:r>
        <w:rPr>
          <w:rFonts w:ascii="arial" w:hAnsi="arial"/>
          <w:b/>
          <w:bCs/>
          <w:i w:val="false"/>
          <w:caps w:val="false"/>
          <w:smallCaps w:val="false"/>
          <w:strike w:val="false"/>
          <w:dstrike w:val="false"/>
          <w:color w:val="0E101A"/>
          <w:sz w:val="22"/>
          <w:szCs w:val="22"/>
          <w:u w:val="none"/>
          <w:effect w:val="none"/>
        </w:rPr>
        <w:t>(A)</w:t>
      </w:r>
      <w:r>
        <w:rPr>
          <w:rFonts w:ascii="arial" w:hAnsi="arial"/>
          <w:b w:val="false"/>
          <w:i w:val="false"/>
          <w:caps w:val="false"/>
          <w:smallCaps w:val="false"/>
          <w:strike w:val="false"/>
          <w:dstrike w:val="false"/>
          <w:color w:val="0E101A"/>
          <w:sz w:val="22"/>
          <w:szCs w:val="22"/>
          <w:u w:val="none"/>
          <w:effect w:val="none"/>
        </w:rPr>
        <w:t xml:space="preserve"> and diversity </w:t>
      </w:r>
      <w:r>
        <w:rPr>
          <w:rFonts w:ascii="arial" w:hAnsi="arial"/>
          <w:b/>
          <w:bCs/>
          <w:i w:val="false"/>
          <w:caps w:val="false"/>
          <w:smallCaps w:val="false"/>
          <w:strike w:val="false"/>
          <w:dstrike w:val="false"/>
          <w:color w:val="0E101A"/>
          <w:sz w:val="22"/>
          <w:szCs w:val="22"/>
          <w:u w:val="none"/>
          <w:effect w:val="none"/>
        </w:rPr>
        <w:t>(B)</w:t>
      </w:r>
      <w:r>
        <w:rPr>
          <w:rFonts w:ascii="arial" w:hAnsi="arial"/>
          <w:b w:val="false"/>
          <w:i w:val="false"/>
          <w:caps w:val="false"/>
          <w:smallCaps w:val="false"/>
          <w:strike w:val="false"/>
          <w:dstrike w:val="false"/>
          <w:color w:val="0E101A"/>
          <w:sz w:val="22"/>
          <w:szCs w:val="22"/>
          <w:u w:val="none"/>
          <w:effect w:val="none"/>
        </w:rPr>
        <w:t xml:space="preserve"> of predicted ARGs increased towards the centre of the hybrid zone, supporting a hybrid (transgressive) effect on ARGs (</w:t>
      </w:r>
      <w:r>
        <w:rPr>
          <w:rFonts w:eastAsia="Noto Serif CJK SC" w:cs="Lohit Devanagari" w:ascii="arial" w:hAnsi="arial"/>
          <w:b w:val="false"/>
          <w:i w:val="false"/>
          <w:caps w:val="false"/>
          <w:smallCaps w:val="false"/>
          <w:strike w:val="false"/>
          <w:dstrike w:val="false"/>
          <w:color w:val="0E101A"/>
          <w:kern w:val="2"/>
          <w:sz w:val="22"/>
          <w:szCs w:val="22"/>
          <w:u w:val="none"/>
          <w:effect w:val="none"/>
          <w:lang w:val="en-US" w:eastAsia="zh-CN" w:bidi="hi-IN"/>
        </w:rPr>
        <w:t>Observed ARG</w:t>
      </w:r>
      <w:r>
        <w:rPr>
          <w:rFonts w:ascii="arial" w:hAnsi="arial"/>
          <w:b w:val="false"/>
          <w:i w:val="false"/>
          <w:caps w:val="false"/>
          <w:smallCaps w:val="false"/>
          <w:strike w:val="false"/>
          <w:dstrike w:val="false"/>
          <w:color w:val="0E101A"/>
          <w:sz w:val="22"/>
          <w:szCs w:val="22"/>
          <w:u w:val="none"/>
          <w:effect w:val="none"/>
        </w:rPr>
        <w:t>, LLV= -175</w:t>
      </w:r>
      <w:r>
        <w:rPr>
          <w:rFonts w:eastAsia="Noto Serif CJK SC" w:cs="Lohit Devanagari" w:ascii="arial" w:hAnsi="arial"/>
          <w:b w:val="false"/>
          <w:i w:val="false"/>
          <w:caps w:val="false"/>
          <w:smallCaps w:val="false"/>
          <w:strike w:val="false"/>
          <w:dstrike w:val="false"/>
          <w:color w:val="0E101A"/>
          <w:kern w:val="2"/>
          <w:sz w:val="22"/>
          <w:szCs w:val="22"/>
          <w:u w:val="none"/>
          <w:effect w:val="none"/>
          <w:lang w:val="en-US" w:eastAsia="zh-CN" w:bidi="hi-IN"/>
        </w:rPr>
        <w:t>5</w:t>
      </w:r>
      <w:r>
        <w:rPr>
          <w:rFonts w:ascii="arial" w:hAnsi="arial"/>
          <w:b w:val="false"/>
          <w:i w:val="false"/>
          <w:caps w:val="false"/>
          <w:smallCaps w:val="false"/>
          <w:strike w:val="false"/>
          <w:dstrike w:val="false"/>
          <w:color w:val="0E101A"/>
          <w:sz w:val="22"/>
          <w:szCs w:val="22"/>
          <w:u w:val="none"/>
          <w:effect w:val="none"/>
        </w:rPr>
        <w:t>.</w:t>
      </w:r>
      <w:r>
        <w:rPr>
          <w:rFonts w:eastAsia="Noto Serif CJK SC" w:cs="Lohit Devanagari" w:ascii="arial" w:hAnsi="arial"/>
          <w:b w:val="false"/>
          <w:i w:val="false"/>
          <w:caps w:val="false"/>
          <w:smallCaps w:val="false"/>
          <w:strike w:val="false"/>
          <w:dstrike w:val="false"/>
          <w:color w:val="0E101A"/>
          <w:kern w:val="2"/>
          <w:sz w:val="22"/>
          <w:szCs w:val="22"/>
          <w:u w:val="none"/>
          <w:effect w:val="none"/>
          <w:lang w:val="en-US" w:eastAsia="zh-CN" w:bidi="hi-IN"/>
        </w:rPr>
        <w:t>17</w:t>
      </w:r>
      <w:r>
        <w:rPr>
          <w:rFonts w:ascii="arial" w:hAnsi="arial"/>
          <w:b w:val="false"/>
          <w:i w:val="false"/>
          <w:caps w:val="false"/>
          <w:smallCaps w:val="false"/>
          <w:strike w:val="false"/>
          <w:dstrike w:val="false"/>
          <w:color w:val="0E101A"/>
          <w:sz w:val="22"/>
          <w:szCs w:val="22"/>
          <w:u w:val="none"/>
          <w:effect w:val="none"/>
        </w:rPr>
        <w:t>, 𝛼= 0.3</w:t>
      </w:r>
      <w:r>
        <w:rPr>
          <w:rFonts w:eastAsia="Noto Serif CJK SC" w:cs="Lohit Devanagari" w:ascii="arial" w:hAnsi="arial"/>
          <w:b w:val="false"/>
          <w:i w:val="false"/>
          <w:caps w:val="false"/>
          <w:smallCaps w:val="false"/>
          <w:strike w:val="false"/>
          <w:dstrike w:val="false"/>
          <w:color w:val="0E101A"/>
          <w:kern w:val="2"/>
          <w:sz w:val="22"/>
          <w:szCs w:val="22"/>
          <w:u w:val="none"/>
          <w:effect w:val="none"/>
          <w:lang w:val="en-US" w:eastAsia="zh-CN" w:bidi="hi-IN"/>
        </w:rPr>
        <w:t>63</w:t>
      </w:r>
      <w:r>
        <w:rPr>
          <w:rFonts w:ascii="arial" w:hAnsi="arial"/>
          <w:b w:val="false"/>
          <w:i w:val="false"/>
          <w:caps w:val="false"/>
          <w:smallCaps w:val="false"/>
          <w:strike w:val="false"/>
          <w:dstrike w:val="false"/>
          <w:color w:val="0E101A"/>
          <w:sz w:val="22"/>
          <w:szCs w:val="22"/>
          <w:u w:val="none"/>
          <w:effect w:val="none"/>
        </w:rPr>
        <w:t xml:space="preserve">, </w:t>
      </w:r>
      <w:r>
        <w:rPr>
          <w:rFonts w:ascii="arial" w:hAnsi="arial"/>
          <w:b w:val="false"/>
          <w:i/>
          <w:caps w:val="false"/>
          <w:smallCaps w:val="false"/>
          <w:strike w:val="false"/>
          <w:dstrike w:val="false"/>
          <w:color w:val="0E101A"/>
          <w:sz w:val="22"/>
          <w:szCs w:val="22"/>
          <w:u w:val="none"/>
          <w:effect w:val="none"/>
        </w:rPr>
        <w:t xml:space="preserve">padj= </w:t>
      </w:r>
      <w:r>
        <w:rPr>
          <w:rFonts w:ascii="arial" w:hAnsi="arial"/>
          <w:b w:val="false"/>
          <w:i w:val="false"/>
          <w:caps w:val="false"/>
          <w:smallCaps w:val="false"/>
          <w:strike w:val="false"/>
          <w:dstrike w:val="false"/>
          <w:color w:val="0E101A"/>
          <w:sz w:val="22"/>
          <w:szCs w:val="22"/>
          <w:u w:val="none"/>
          <w:effect w:val="none"/>
        </w:rPr>
        <w:t>0.00</w:t>
      </w:r>
      <w:r>
        <w:rPr>
          <w:rFonts w:eastAsia="Noto Serif CJK SC" w:cs="Lohit Devanagari" w:ascii="arial" w:hAnsi="arial"/>
          <w:b w:val="false"/>
          <w:i w:val="false"/>
          <w:caps w:val="false"/>
          <w:smallCaps w:val="false"/>
          <w:strike w:val="false"/>
          <w:dstrike w:val="false"/>
          <w:color w:val="0E101A"/>
          <w:kern w:val="2"/>
          <w:sz w:val="22"/>
          <w:szCs w:val="22"/>
          <w:u w:val="none"/>
          <w:effect w:val="none"/>
          <w:lang w:val="en-US" w:eastAsia="zh-CN" w:bidi="hi-IN"/>
        </w:rPr>
        <w:t>21</w:t>
      </w:r>
      <w:r>
        <w:rPr>
          <w:rFonts w:ascii="arial" w:hAnsi="arial"/>
          <w:b w:val="false"/>
          <w:i w:val="false"/>
          <w:caps w:val="false"/>
          <w:smallCaps w:val="false"/>
          <w:strike w:val="false"/>
          <w:dstrike w:val="false"/>
          <w:color w:val="0E101A"/>
          <w:sz w:val="22"/>
          <w:szCs w:val="22"/>
          <w:u w:val="none"/>
          <w:effect w:val="none"/>
        </w:rPr>
        <w:t>; Shannon index, LL= -</w:t>
      </w:r>
      <w:r>
        <w:rPr>
          <w:rFonts w:eastAsia="Noto Serif CJK SC" w:cs="Lohit Devanagari" w:ascii="arial" w:hAnsi="arial"/>
          <w:b w:val="false"/>
          <w:i w:val="false"/>
          <w:caps w:val="false"/>
          <w:smallCaps w:val="false"/>
          <w:strike w:val="false"/>
          <w:dstrike w:val="false"/>
          <w:color w:val="0E101A"/>
          <w:kern w:val="2"/>
          <w:sz w:val="22"/>
          <w:szCs w:val="22"/>
          <w:u w:val="none"/>
          <w:effect w:val="none"/>
          <w:lang w:val="en-US" w:eastAsia="zh-CN" w:bidi="hi-IN"/>
        </w:rPr>
        <w:t>77.5</w:t>
      </w:r>
      <w:r>
        <w:rPr>
          <w:rFonts w:ascii="arial" w:hAnsi="arial"/>
          <w:b w:val="false"/>
          <w:i w:val="false"/>
          <w:caps w:val="false"/>
          <w:smallCaps w:val="false"/>
          <w:strike w:val="false"/>
          <w:dstrike w:val="false"/>
          <w:color w:val="0E101A"/>
          <w:sz w:val="22"/>
          <w:szCs w:val="22"/>
          <w:u w:val="none"/>
          <w:effect w:val="none"/>
        </w:rPr>
        <w:t>, 𝛼= 0.</w:t>
      </w:r>
      <w:r>
        <w:rPr>
          <w:rFonts w:eastAsia="Noto Serif CJK SC" w:cs="Lohit Devanagari" w:ascii="arial" w:hAnsi="arial"/>
          <w:b w:val="false"/>
          <w:i w:val="false"/>
          <w:caps w:val="false"/>
          <w:smallCaps w:val="false"/>
          <w:strike w:val="false"/>
          <w:dstrike w:val="false"/>
          <w:color w:val="0E101A"/>
          <w:kern w:val="2"/>
          <w:sz w:val="22"/>
          <w:szCs w:val="22"/>
          <w:u w:val="none"/>
          <w:effect w:val="none"/>
          <w:lang w:val="en-US" w:eastAsia="zh-CN" w:bidi="hi-IN"/>
        </w:rPr>
        <w:t>102</w:t>
      </w:r>
      <w:r>
        <w:rPr>
          <w:rFonts w:ascii="arial" w:hAnsi="arial"/>
          <w:b w:val="false"/>
          <w:i w:val="false"/>
          <w:caps w:val="false"/>
          <w:smallCaps w:val="false"/>
          <w:strike w:val="false"/>
          <w:dstrike w:val="false"/>
          <w:color w:val="0E101A"/>
          <w:sz w:val="22"/>
          <w:szCs w:val="22"/>
          <w:u w:val="none"/>
          <w:effect w:val="none"/>
        </w:rPr>
        <w:t xml:space="preserve">, </w:t>
      </w:r>
      <w:r>
        <w:rPr>
          <w:rFonts w:ascii="arial" w:hAnsi="arial"/>
          <w:b w:val="false"/>
          <w:i/>
          <w:caps w:val="false"/>
          <w:smallCaps w:val="false"/>
          <w:strike w:val="false"/>
          <w:dstrike w:val="false"/>
          <w:color w:val="0E101A"/>
          <w:sz w:val="22"/>
          <w:szCs w:val="22"/>
          <w:u w:val="none"/>
          <w:effect w:val="none"/>
        </w:rPr>
        <w:t xml:space="preserve">padj= </w:t>
      </w:r>
      <w:r>
        <w:rPr>
          <w:rFonts w:ascii="arial" w:hAnsi="arial"/>
          <w:b w:val="false"/>
          <w:i w:val="false"/>
          <w:caps w:val="false"/>
          <w:smallCaps w:val="false"/>
          <w:strike w:val="false"/>
          <w:dstrike w:val="false"/>
          <w:color w:val="0E101A"/>
          <w:sz w:val="22"/>
          <w:szCs w:val="22"/>
          <w:u w:val="none"/>
          <w:effect w:val="none"/>
        </w:rPr>
        <w:t>0.0</w:t>
      </w:r>
      <w:r>
        <w:rPr>
          <w:rFonts w:eastAsia="Noto Serif CJK SC" w:cs="Lohit Devanagari" w:ascii="arial" w:hAnsi="arial"/>
          <w:b w:val="false"/>
          <w:i w:val="false"/>
          <w:caps w:val="false"/>
          <w:smallCaps w:val="false"/>
          <w:strike w:val="false"/>
          <w:dstrike w:val="false"/>
          <w:color w:val="0E101A"/>
          <w:kern w:val="2"/>
          <w:sz w:val="22"/>
          <w:szCs w:val="22"/>
          <w:u w:val="none"/>
          <w:effect w:val="none"/>
          <w:lang w:val="en-US" w:eastAsia="zh-CN" w:bidi="hi-IN"/>
        </w:rPr>
        <w:t>414</w:t>
      </w:r>
      <w:r>
        <w:rPr>
          <w:rFonts w:ascii="arial" w:hAnsi="arial"/>
          <w:b w:val="false"/>
          <w:i w:val="false"/>
          <w:caps w:val="false"/>
          <w:smallCaps w:val="false"/>
          <w:strike w:val="false"/>
          <w:dstrike w:val="false"/>
          <w:color w:val="0E101A"/>
          <w:sz w:val="22"/>
          <w:szCs w:val="22"/>
          <w:u w:val="none"/>
          <w:effect w:val="none"/>
        </w:rPr>
        <w:t xml:space="preserve">). </w:t>
      </w:r>
    </w:p>
    <w:p>
      <w:pPr>
        <w:pStyle w:val="LOnormal"/>
        <w:shd w:val="clear" w:fill="FFFFFF"/>
        <w:spacing w:lineRule="auto" w:line="276"/>
        <w:jc w:val="both"/>
        <w:rPr>
          <w:highlight w:val="yellow"/>
        </w:rPr>
      </w:pPr>
      <w:r>
        <w:rPr>
          <w:highlight w:val="yellow"/>
        </w:rPr>
        <w:drawing>
          <wp:anchor behindDoc="0" distT="0" distB="0" distL="0" distR="0" simplePos="0" locked="0" layoutInCell="1" allowOverlap="1" relativeHeight="6">
            <wp:simplePos x="0" y="0"/>
            <wp:positionH relativeFrom="column">
              <wp:posOffset>67310</wp:posOffset>
            </wp:positionH>
            <wp:positionV relativeFrom="paragraph">
              <wp:posOffset>41910</wp:posOffset>
            </wp:positionV>
            <wp:extent cx="6120130" cy="3060065"/>
            <wp:effectExtent l="0" t="0" r="0" b="0"/>
            <wp:wrapTopAndBottom/>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4"/>
                    <a:stretch>
                      <a:fillRect/>
                    </a:stretch>
                  </pic:blipFill>
                  <pic:spPr bwMode="auto">
                    <a:xfrm>
                      <a:off x="0" y="0"/>
                      <a:ext cx="6120130" cy="3060065"/>
                    </a:xfrm>
                    <a:prstGeom prst="rect">
                      <a:avLst/>
                    </a:prstGeom>
                  </pic:spPr>
                </pic:pic>
              </a:graphicData>
            </a:graphic>
          </wp:anchor>
        </w:drawing>
      </w:r>
    </w:p>
    <w:p>
      <w:pPr>
        <w:sectPr>
          <w:type w:val="nextPage"/>
          <w:pgSz w:w="11906" w:h="16838"/>
          <w:pgMar w:left="1134" w:right="1134" w:header="0" w:top="1134" w:footer="0" w:bottom="1134" w:gutter="0"/>
          <w:pgNumType w:fmt="decimal"/>
          <w:formProt w:val="false"/>
          <w:textDirection w:val="lrTb"/>
          <w:docGrid w:type="default" w:linePitch="100" w:charSpace="0"/>
        </w:sectPr>
        <w:pStyle w:val="TextBody"/>
        <w:shd w:val="clear" w:fill="FFFFFF"/>
        <w:spacing w:lineRule="auto" w:line="276"/>
        <w:jc w:val="both"/>
        <w:rPr/>
      </w:pPr>
      <w:r>
        <w:rPr>
          <w:rFonts w:eastAsia="Noto Serif CJK SC" w:cs="Lohit Devanagari" w:ascii="Arial;sans-serif" w:hAnsi="Arial;sans-serif"/>
          <w:b/>
          <w:bCs/>
          <w:i w:val="false"/>
          <w:caps w:val="false"/>
          <w:smallCaps w:val="false"/>
          <w:strike w:val="false"/>
          <w:dstrike w:val="false"/>
          <w:color w:val="0E101A"/>
          <w:kern w:val="2"/>
          <w:sz w:val="22"/>
          <w:szCs w:val="22"/>
          <w:u w:val="none"/>
          <w:effect w:val="none"/>
          <w:lang w:val="en-US" w:eastAsia="zh-CN" w:bidi="hi-IN"/>
        </w:rPr>
        <w:t>S</w:t>
      </w:r>
      <w:r>
        <w:rPr>
          <w:rFonts w:eastAsia="Noto Serif CJK SC" w:cs="Lohit Devanagari" w:ascii="arial" w:hAnsi="arial"/>
          <w:b/>
          <w:i w:val="false"/>
          <w:caps w:val="false"/>
          <w:smallCaps w:val="false"/>
          <w:strike w:val="false"/>
          <w:dstrike w:val="false"/>
          <w:color w:val="0E101A"/>
          <w:kern w:val="2"/>
          <w:sz w:val="22"/>
          <w:szCs w:val="22"/>
          <w:u w:val="none"/>
          <w:effect w:val="none"/>
          <w:lang w:val="en-US" w:eastAsia="zh-CN" w:bidi="hi-IN"/>
        </w:rPr>
        <w:t>upplement Figure S4.5.</w:t>
      </w:r>
      <w:r>
        <w:rPr>
          <w:rFonts w:ascii="Arial;sans-serif" w:hAnsi="Arial;sans-serif"/>
          <w:b w:val="false"/>
          <w:i w:val="false"/>
          <w:caps w:val="false"/>
          <w:smallCaps w:val="false"/>
          <w:strike w:val="false"/>
          <w:dstrike w:val="false"/>
          <w:color w:val="0E101A"/>
          <w:sz w:val="22"/>
          <w:szCs w:val="22"/>
          <w:u w:val="none"/>
          <w:effect w:val="none"/>
        </w:rPr>
        <w:t xml:space="preserve"> </w:t>
      </w:r>
      <w:r>
        <w:rPr>
          <w:rFonts w:eastAsia="Noto Serif CJK SC" w:cs="Lohit Devanagari" w:ascii="Arial;sans-serif" w:hAnsi="Arial;sans-serif"/>
          <w:b/>
          <w:bCs/>
          <w:i w:val="false"/>
          <w:caps w:val="false"/>
          <w:smallCaps w:val="false"/>
          <w:strike w:val="false"/>
          <w:dstrike w:val="false"/>
          <w:color w:val="0E101A"/>
          <w:kern w:val="2"/>
          <w:sz w:val="22"/>
          <w:szCs w:val="22"/>
          <w:u w:val="none"/>
          <w:effect w:val="none"/>
          <w:lang w:val="en-US" w:eastAsia="zh-CN" w:bidi="hi-IN"/>
        </w:rPr>
        <w:t>H</w:t>
      </w:r>
      <w:r>
        <w:rPr>
          <w:rFonts w:ascii="Arial;sans-serif" w:hAnsi="Arial;sans-serif"/>
          <w:b/>
          <w:bCs/>
          <w:i w:val="false"/>
          <w:caps w:val="false"/>
          <w:smallCaps w:val="false"/>
          <w:strike w:val="false"/>
          <w:dstrike w:val="false"/>
          <w:color w:val="0E101A"/>
          <w:sz w:val="22"/>
          <w:szCs w:val="22"/>
          <w:u w:val="none"/>
          <w:effect w:val="none"/>
        </w:rPr>
        <w:t xml:space="preserve">ybrid effect is robust for those individuals within the main </w:t>
      </w:r>
      <w:r>
        <w:rPr>
          <w:rFonts w:eastAsia="Noto Serif CJK SC" w:cs="Lohit Devanagari" w:ascii="Arial;sans-serif" w:hAnsi="Arial;sans-serif"/>
          <w:b/>
          <w:bCs/>
          <w:i w:val="false"/>
          <w:caps w:val="false"/>
          <w:smallCaps w:val="false"/>
          <w:strike w:val="false"/>
          <w:dstrike w:val="false"/>
          <w:color w:val="0E101A"/>
          <w:kern w:val="2"/>
          <w:sz w:val="22"/>
          <w:szCs w:val="22"/>
          <w:u w:val="none"/>
          <w:effect w:val="none"/>
          <w:lang w:val="en-US" w:eastAsia="zh-CN" w:bidi="hi-IN"/>
        </w:rPr>
        <w:t>level</w:t>
      </w:r>
      <w:r>
        <w:rPr>
          <w:rFonts w:ascii="Arial;sans-serif" w:hAnsi="Arial;sans-serif"/>
          <w:b/>
          <w:bCs/>
          <w:i w:val="false"/>
          <w:caps w:val="false"/>
          <w:smallCaps w:val="false"/>
          <w:strike w:val="false"/>
          <w:dstrike w:val="false"/>
          <w:color w:val="0E101A"/>
          <w:sz w:val="22"/>
          <w:szCs w:val="22"/>
          <w:u w:val="none"/>
          <w:effect w:val="none"/>
        </w:rPr>
        <w:t xml:space="preserve"> of ARG richness (Chao1 &lt; 40). </w:t>
      </w:r>
      <w:r>
        <w:rPr>
          <w:rFonts w:ascii="Arial;sans-serif" w:hAnsi="Arial;sans-serif"/>
          <w:b w:val="false"/>
          <w:i w:val="false"/>
          <w:caps w:val="false"/>
          <w:smallCaps w:val="false"/>
          <w:strike w:val="false"/>
          <w:dstrike w:val="false"/>
          <w:color w:val="0E101A"/>
          <w:sz w:val="22"/>
          <w:szCs w:val="22"/>
          <w:u w:val="none"/>
          <w:effect w:val="none"/>
        </w:rPr>
        <w:t xml:space="preserve">The bimodal distribution of ARG richness does not impact the observed </w:t>
      </w:r>
      <w:r>
        <w:rPr>
          <w:rFonts w:eastAsia="Noto Serif CJK SC" w:cs="Lohit Devanagari" w:ascii="Arial;sans-serif" w:hAnsi="Arial;sans-serif"/>
          <w:b w:val="false"/>
          <w:i w:val="false"/>
          <w:caps w:val="false"/>
          <w:smallCaps w:val="false"/>
          <w:strike w:val="false"/>
          <w:dstrike w:val="false"/>
          <w:color w:val="0E101A"/>
          <w:kern w:val="2"/>
          <w:sz w:val="22"/>
          <w:szCs w:val="22"/>
          <w:u w:val="none"/>
          <w:effect w:val="none"/>
          <w:lang w:val="en-US" w:eastAsia="zh-CN" w:bidi="hi-IN"/>
        </w:rPr>
        <w:t>h</w:t>
      </w:r>
      <w:r>
        <w:rPr>
          <w:rFonts w:ascii="Arial;sans-serif" w:hAnsi="Arial;sans-serif"/>
          <w:b w:val="false"/>
          <w:i w:val="false"/>
          <w:caps w:val="false"/>
          <w:smallCaps w:val="false"/>
          <w:strike w:val="false"/>
          <w:dstrike w:val="false"/>
          <w:color w:val="0E101A"/>
          <w:sz w:val="22"/>
          <w:szCs w:val="22"/>
          <w:u w:val="none"/>
          <w:effect w:val="none"/>
        </w:rPr>
        <w:t xml:space="preserve">ybrid effect on ARG richness differs between those with “high” richness (Chao1 ≧40) versus those with "low/regular" ARG richness (Chao1 &lt;40). </w:t>
      </w:r>
      <w:r>
        <w:rPr>
          <w:rFonts w:ascii="Arial;sans-serif" w:hAnsi="Arial;sans-serif"/>
          <w:b/>
          <w:bCs/>
          <w:i w:val="false"/>
          <w:caps w:val="false"/>
          <w:smallCaps w:val="false"/>
          <w:strike w:val="false"/>
          <w:dstrike w:val="false"/>
          <w:color w:val="0E101A"/>
          <w:sz w:val="22"/>
          <w:szCs w:val="22"/>
          <w:u w:val="none"/>
          <w:effect w:val="none"/>
        </w:rPr>
        <w:t>A)</w:t>
      </w:r>
      <w:r>
        <w:rPr>
          <w:rFonts w:ascii="Arial;sans-serif" w:hAnsi="Arial;sans-serif"/>
          <w:b w:val="false"/>
          <w:i w:val="false"/>
          <w:caps w:val="false"/>
          <w:smallCaps w:val="false"/>
          <w:strike w:val="false"/>
          <w:dstrike w:val="false"/>
          <w:color w:val="0E101A"/>
          <w:sz w:val="22"/>
          <w:szCs w:val="22"/>
          <w:u w:val="none"/>
          <w:effect w:val="none"/>
        </w:rPr>
        <w:t xml:space="preserve"> </w:t>
      </w:r>
      <w:bookmarkStart w:id="4" w:name="docs-internal-guid-b03cb3d7-7fff-e28a-ee"/>
      <w:bookmarkEnd w:id="4"/>
      <w:r>
        <w:rPr>
          <w:rFonts w:ascii="Arial;sans-serif" w:hAnsi="Arial;sans-serif"/>
          <w:b w:val="false"/>
          <w:i w:val="false"/>
          <w:caps w:val="false"/>
          <w:smallCaps w:val="false"/>
          <w:strike w:val="false"/>
          <w:dstrike w:val="false"/>
          <w:color w:val="0E101A"/>
          <w:sz w:val="22"/>
          <w:szCs w:val="22"/>
          <w:u w:val="none"/>
          <w:effect w:val="none"/>
        </w:rPr>
        <w:t xml:space="preserve">The hybrid effect in the majority of the samples with "low/regular " ARG richness individuals remained a significant signal (N= 390, LLV= -1119.82, α= 0.191, </w:t>
      </w:r>
      <w:r>
        <w:rPr>
          <w:rFonts w:ascii="Arial;sans-serif" w:hAnsi="Arial;sans-serif"/>
          <w:b w:val="false"/>
          <w:i/>
          <w:caps w:val="false"/>
          <w:smallCaps w:val="false"/>
          <w:strike w:val="false"/>
          <w:dstrike w:val="false"/>
          <w:color w:val="0E101A"/>
          <w:sz w:val="22"/>
          <w:szCs w:val="22"/>
          <w:u w:val="none"/>
          <w:effect w:val="none"/>
        </w:rPr>
        <w:t>p.adj</w:t>
      </w:r>
      <w:r>
        <w:rPr>
          <w:rFonts w:ascii="Arial;sans-serif" w:hAnsi="Arial;sans-serif"/>
          <w:b w:val="false"/>
          <w:i w:val="false"/>
          <w:caps w:val="false"/>
          <w:smallCaps w:val="false"/>
          <w:strike w:val="false"/>
          <w:dstrike w:val="false"/>
          <w:color w:val="0E101A"/>
          <w:sz w:val="22"/>
          <w:szCs w:val="22"/>
          <w:u w:val="none"/>
          <w:effect w:val="none"/>
        </w:rPr>
        <w:t xml:space="preserve">= 0.008). </w:t>
      </w:r>
      <w:r>
        <w:rPr>
          <w:rFonts w:ascii="Arial;sans-serif" w:hAnsi="Arial;sans-serif"/>
          <w:b/>
          <w:bCs/>
          <w:i w:val="false"/>
          <w:caps w:val="false"/>
          <w:smallCaps w:val="false"/>
          <w:strike w:val="false"/>
          <w:dstrike w:val="false"/>
          <w:color w:val="0E101A"/>
          <w:sz w:val="22"/>
          <w:szCs w:val="22"/>
          <w:u w:val="none"/>
          <w:effect w:val="none"/>
        </w:rPr>
        <w:t xml:space="preserve">B) </w:t>
      </w:r>
      <w:r>
        <w:rPr>
          <w:rFonts w:ascii="Arial;sans-serif" w:hAnsi="Arial;sans-serif"/>
          <w:b w:val="false"/>
          <w:i w:val="false"/>
          <w:caps w:val="false"/>
          <w:smallCaps w:val="false"/>
          <w:strike w:val="false"/>
          <w:dstrike w:val="false"/>
          <w:color w:val="0E101A"/>
          <w:sz w:val="22"/>
          <w:szCs w:val="22"/>
          <w:u w:val="none"/>
          <w:effect w:val="none"/>
        </w:rPr>
        <w:t xml:space="preserve">The effect in the minority of individuals with "high" ARG richness was not detected (N= 103, LLV= -289.48, α= -0.001, </w:t>
      </w:r>
      <w:r>
        <w:rPr>
          <w:rFonts w:ascii="Arial;sans-serif" w:hAnsi="Arial;sans-serif"/>
          <w:b w:val="false"/>
          <w:i/>
          <w:caps w:val="false"/>
          <w:smallCaps w:val="false"/>
          <w:strike w:val="false"/>
          <w:dstrike w:val="false"/>
          <w:color w:val="0E101A"/>
          <w:sz w:val="22"/>
          <w:szCs w:val="22"/>
          <w:u w:val="none"/>
          <w:effect w:val="none"/>
        </w:rPr>
        <w:t>p.adj</w:t>
      </w:r>
      <w:r>
        <w:rPr>
          <w:rFonts w:ascii="Arial;sans-serif" w:hAnsi="Arial;sans-serif"/>
          <w:b w:val="false"/>
          <w:i w:val="false"/>
          <w:caps w:val="false"/>
          <w:smallCaps w:val="false"/>
          <w:strike w:val="false"/>
          <w:dstrike w:val="false"/>
          <w:color w:val="0E101A"/>
          <w:sz w:val="22"/>
          <w:szCs w:val="22"/>
          <w:u w:val="none"/>
          <w:effect w:val="none"/>
        </w:rPr>
        <w:t>= 0.992).</w:t>
      </w:r>
    </w:p>
    <w:p>
      <w:pPr>
        <w:pStyle w:val="LOnormal"/>
        <w:shd w:val="clear" w:fill="FFFFFF"/>
        <w:spacing w:lineRule="auto" w:line="276"/>
        <w:jc w:val="both"/>
        <w:rPr>
          <w:color w:val="0E101A"/>
        </w:rPr>
      </w:pPr>
      <w:r>
        <w:rPr>
          <w:rFonts w:ascii="arial" w:hAnsi="arial"/>
          <w:b/>
          <w:sz w:val="24"/>
          <w:szCs w:val="24"/>
        </w:rPr>
        <w:t xml:space="preserve">Supplement </w:t>
      </w:r>
      <w:r>
        <w:rPr>
          <w:rFonts w:eastAsia="Noto Serif CJK SC" w:cs="Lohit Devanagari" w:ascii="arial" w:hAnsi="arial"/>
          <w:b/>
          <w:color w:val="auto"/>
          <w:kern w:val="2"/>
          <w:sz w:val="24"/>
          <w:szCs w:val="24"/>
          <w:lang w:val="en-US" w:eastAsia="zh-CN" w:bidi="hi-IN"/>
        </w:rPr>
        <w:t>5</w:t>
      </w:r>
      <w:r>
        <w:rPr>
          <w:rFonts w:ascii="arial" w:hAnsi="arial"/>
          <w:b/>
          <w:sz w:val="24"/>
          <w:szCs w:val="24"/>
        </w:rPr>
        <w:t xml:space="preserve">. Analysis of variance in predicted ARG alpha diversity explained by host, microbiome and sampling derived factors. Significance for each predictor was determined by nested linear model comparison </w:t>
      </w:r>
      <w:r>
        <w:rPr>
          <w:rFonts w:eastAsia="Noto Serif CJK SC" w:cs="Lohit Devanagari" w:ascii="arial" w:hAnsi="arial"/>
          <w:b/>
          <w:color w:val="auto"/>
          <w:kern w:val="2"/>
          <w:sz w:val="24"/>
          <w:szCs w:val="24"/>
          <w:lang w:val="en-US" w:eastAsia="zh-CN" w:bidi="hi-IN"/>
        </w:rPr>
        <w:t xml:space="preserve">by </w:t>
      </w:r>
      <w:bookmarkStart w:id="5" w:name="docs-internal-guid-ee86df1f-7fff-2bdc-3f"/>
      <w:bookmarkEnd w:id="5"/>
      <w:r>
        <w:rPr>
          <w:rFonts w:eastAsia="Noto Serif CJK SC" w:cs="Lohit Devanagari" w:ascii="arial" w:hAnsi="arial"/>
          <w:b/>
          <w:i w:val="false"/>
          <w:caps w:val="false"/>
          <w:smallCaps w:val="false"/>
          <w:strike w:val="false"/>
          <w:dstrike w:val="false"/>
          <w:color w:val="000000"/>
          <w:kern w:val="2"/>
          <w:sz w:val="24"/>
          <w:szCs w:val="24"/>
          <w:u w:val="none"/>
          <w:effect w:val="none"/>
          <w:lang w:val="en-US" w:eastAsia="zh-CN" w:bidi="hi-IN"/>
        </w:rPr>
        <w:t xml:space="preserve">likelihood ratio test (LRT) and the variance explained (Var. exp) by </w:t>
      </w:r>
      <w:bookmarkStart w:id="6" w:name="docs-internal-guid-81f6ef55-7fff-fda7-d2"/>
      <w:bookmarkEnd w:id="6"/>
      <w:r>
        <w:rPr>
          <w:rFonts w:eastAsia="Noto Serif CJK SC" w:cs="Lohit Devanagari" w:ascii="Arial;sans-serif" w:hAnsi="Arial;sans-serif"/>
          <w:b/>
          <w:bCs/>
          <w:i w:val="false"/>
          <w:caps w:val="false"/>
          <w:smallCaps w:val="false"/>
          <w:strike w:val="false"/>
          <w:dstrike w:val="false"/>
          <w:color w:val="0E101A"/>
          <w:kern w:val="2"/>
          <w:sz w:val="24"/>
          <w:szCs w:val="24"/>
          <w:u w:val="none"/>
          <w:effect w:val="none"/>
          <w:lang w:val="en-US" w:eastAsia="zh-CN" w:bidi="hi-IN"/>
        </w:rPr>
        <w:t>the coefficient of determination (</w:t>
      </w:r>
      <w:r>
        <w:rPr>
          <w:rFonts w:eastAsia="Noto Serif CJK SC" w:cs="Lohit Devanagari" w:ascii="Arial;sans-serif" w:hAnsi="Arial;sans-serif"/>
          <w:b/>
          <w:bCs/>
          <w:i/>
          <w:caps w:val="false"/>
          <w:smallCaps w:val="false"/>
          <w:strike w:val="false"/>
          <w:dstrike w:val="false"/>
          <w:color w:val="0E101A"/>
          <w:kern w:val="2"/>
          <w:sz w:val="24"/>
          <w:szCs w:val="24"/>
          <w:u w:val="none"/>
          <w:effect w:val="none"/>
          <w:lang w:val="en-US" w:eastAsia="zh-CN" w:bidi="hi-IN"/>
        </w:rPr>
        <w:t>R</w:t>
      </w:r>
      <w:r>
        <w:rPr>
          <w:rFonts w:eastAsia="Noto Serif CJK SC" w:cs="Lohit Devanagari" w:ascii="Arial;sans-serif" w:hAnsi="Arial;sans-serif"/>
          <w:b/>
          <w:bCs/>
          <w:i w:val="false"/>
          <w:caps w:val="false"/>
          <w:smallCaps w:val="false"/>
          <w:strike w:val="false"/>
          <w:dstrike w:val="false"/>
          <w:color w:val="0E101A"/>
          <w:kern w:val="2"/>
          <w:sz w:val="24"/>
          <w:szCs w:val="24"/>
          <w:u w:val="none"/>
          <w:effect w:val="none"/>
          <w:vertAlign w:val="superscript"/>
          <w:lang w:val="en-US" w:eastAsia="zh-CN" w:bidi="hi-IN"/>
        </w:rPr>
        <w:t>2</w:t>
      </w:r>
      <w:r>
        <w:rPr>
          <w:rFonts w:eastAsia="Noto Serif CJK SC" w:cs="Lohit Devanagari" w:ascii="Arial;sans-serif" w:hAnsi="Arial;sans-serif"/>
          <w:b/>
          <w:bCs/>
          <w:i w:val="false"/>
          <w:caps w:val="false"/>
          <w:smallCaps w:val="false"/>
          <w:strike w:val="false"/>
          <w:dstrike w:val="false"/>
          <w:color w:val="0E101A"/>
          <w:kern w:val="2"/>
          <w:position w:val="0"/>
          <w:sz w:val="24"/>
          <w:sz w:val="24"/>
          <w:szCs w:val="24"/>
          <w:u w:val="none"/>
          <w:effect w:val="none"/>
          <w:vertAlign w:val="baseline"/>
          <w:lang w:val="en-US" w:eastAsia="zh-CN" w:bidi="hi-IN"/>
        </w:rPr>
        <w:t>*100</w:t>
      </w:r>
      <w:r>
        <w:rPr>
          <w:rFonts w:eastAsia="Noto Serif CJK SC" w:cs="Lohit Devanagari" w:ascii="Arial;sans-serif" w:hAnsi="Arial;sans-serif"/>
          <w:b/>
          <w:bCs/>
          <w:i w:val="false"/>
          <w:caps w:val="false"/>
          <w:smallCaps w:val="false"/>
          <w:strike w:val="false"/>
          <w:dstrike w:val="false"/>
          <w:color w:val="0E101A"/>
          <w:kern w:val="2"/>
          <w:sz w:val="24"/>
          <w:szCs w:val="24"/>
          <w:u w:val="none"/>
          <w:effect w:val="none"/>
          <w:lang w:val="en-US" w:eastAsia="zh-CN" w:bidi="hi-IN"/>
        </w:rPr>
        <w:t>)</w:t>
      </w:r>
      <w:r>
        <w:rPr>
          <w:rFonts w:ascii="arial" w:hAnsi="arial"/>
          <w:b/>
          <w:sz w:val="24"/>
          <w:szCs w:val="24"/>
        </w:rPr>
        <w:t xml:space="preserve"> </w:t>
      </w:r>
      <w:r>
        <w:rPr>
          <w:rFonts w:ascii="arial" w:hAnsi="arial"/>
        </w:rPr>
        <w:t xml:space="preserve"> </w:t>
      </w:r>
    </w:p>
    <w:tbl>
      <w:tblPr>
        <w:tblStyle w:val="Table3"/>
        <w:tblW w:w="13951" w:type="dxa"/>
        <w:jc w:val="left"/>
        <w:tblInd w:w="100" w:type="dxa"/>
        <w:tblCellMar>
          <w:top w:w="100" w:type="dxa"/>
          <w:left w:w="100" w:type="dxa"/>
          <w:bottom w:w="100" w:type="dxa"/>
          <w:right w:w="100" w:type="dxa"/>
        </w:tblCellMar>
        <w:tblLook w:val="0600"/>
      </w:tblPr>
      <w:tblGrid>
        <w:gridCol w:w="1983"/>
        <w:gridCol w:w="638"/>
        <w:gridCol w:w="1399"/>
        <w:gridCol w:w="1204"/>
        <w:gridCol w:w="1328"/>
        <w:gridCol w:w="1236"/>
        <w:gridCol w:w="1192"/>
        <w:gridCol w:w="1349"/>
        <w:gridCol w:w="1145"/>
        <w:gridCol w:w="1173"/>
        <w:gridCol w:w="1302"/>
      </w:tblGrid>
      <w:tr>
        <w:trPr>
          <w:trHeight w:val="700" w:hRule="atLeast"/>
        </w:trPr>
        <w:tc>
          <w:tcPr>
            <w:tcW w:w="1983" w:type="dxa"/>
            <w:tcBorders>
              <w:top w:val="single" w:sz="12" w:space="0" w:color="000000"/>
              <w:bottom w:val="single" w:sz="12" w:space="0" w:color="000000"/>
            </w:tcBorders>
            <w:shd w:fill="auto" w:val="clear"/>
          </w:tcPr>
          <w:p>
            <w:pPr>
              <w:pStyle w:val="LOnormal"/>
              <w:widowControl w:val="false"/>
              <w:spacing w:lineRule="auto" w:line="240"/>
              <w:jc w:val="center"/>
              <w:rPr>
                <w:b/>
                <w:b/>
                <w:color w:val="0E101A"/>
              </w:rPr>
            </w:pPr>
            <w:r>
              <w:rPr>
                <w:rFonts w:ascii="arial" w:hAnsi="arial"/>
                <w:b/>
                <w:color w:val="0E101A"/>
              </w:rPr>
              <w:t>Response/</w:t>
            </w:r>
          </w:p>
          <w:p>
            <w:pPr>
              <w:pStyle w:val="LOnormal"/>
              <w:widowControl w:val="false"/>
              <w:spacing w:lineRule="auto" w:line="240"/>
              <w:jc w:val="center"/>
              <w:rPr>
                <w:b/>
                <w:b/>
                <w:color w:val="0E101A"/>
              </w:rPr>
            </w:pPr>
            <w:r>
              <w:rPr>
                <w:rFonts w:ascii="arial" w:hAnsi="arial"/>
                <w:b/>
                <w:color w:val="0E101A"/>
              </w:rPr>
              <w:t>Predictor</w:t>
            </w:r>
          </w:p>
        </w:tc>
        <w:tc>
          <w:tcPr>
            <w:tcW w:w="638" w:type="dxa"/>
            <w:tcBorders>
              <w:top w:val="single" w:sz="12" w:space="0" w:color="000000"/>
              <w:bottom w:val="single" w:sz="12" w:space="0" w:color="000000"/>
            </w:tcBorders>
            <w:shd w:fill="auto" w:val="clear"/>
          </w:tcPr>
          <w:p>
            <w:pPr>
              <w:pStyle w:val="LOnormal"/>
              <w:widowControl w:val="false"/>
              <w:spacing w:lineRule="auto" w:line="240"/>
              <w:rPr>
                <w:color w:val="0E101A"/>
              </w:rPr>
            </w:pPr>
            <w:r>
              <w:rPr>
                <w:color w:val="0E101A"/>
              </w:rPr>
            </w:r>
          </w:p>
        </w:tc>
        <w:tc>
          <w:tcPr>
            <w:tcW w:w="3931" w:type="dxa"/>
            <w:gridSpan w:val="3"/>
            <w:tcBorders>
              <w:top w:val="single" w:sz="12" w:space="0" w:color="000000"/>
              <w:bottom w:val="single" w:sz="12" w:space="0" w:color="000000"/>
            </w:tcBorders>
            <w:shd w:fill="auto" w:val="clear"/>
          </w:tcPr>
          <w:p>
            <w:pPr>
              <w:pStyle w:val="LOnormal"/>
              <w:widowControl w:val="false"/>
              <w:spacing w:lineRule="auto" w:line="240"/>
              <w:jc w:val="center"/>
              <w:rPr>
                <w:b/>
                <w:b/>
                <w:i/>
                <w:i/>
                <w:color w:val="0E101A"/>
              </w:rPr>
            </w:pPr>
            <w:r>
              <w:rPr>
                <w:rFonts w:ascii="arial" w:hAnsi="arial"/>
                <w:b/>
                <w:i/>
                <w:color w:val="0E101A"/>
              </w:rPr>
              <w:t xml:space="preserve">ARG Richness </w:t>
            </w:r>
          </w:p>
          <w:p>
            <w:pPr>
              <w:pStyle w:val="LOnormal"/>
              <w:widowControl w:val="false"/>
              <w:spacing w:lineRule="auto" w:line="240"/>
              <w:jc w:val="center"/>
              <w:rPr>
                <w:b/>
                <w:b/>
                <w:i/>
                <w:i/>
                <w:color w:val="0E101A"/>
              </w:rPr>
            </w:pPr>
            <w:r>
              <w:rPr>
                <w:rFonts w:ascii="arial" w:hAnsi="arial"/>
                <w:b/>
                <w:i/>
                <w:color w:val="0E101A"/>
              </w:rPr>
              <w:t>(Chao1 Index)</w:t>
            </w:r>
          </w:p>
        </w:tc>
        <w:tc>
          <w:tcPr>
            <w:tcW w:w="3777" w:type="dxa"/>
            <w:gridSpan w:val="3"/>
            <w:tcBorders>
              <w:top w:val="single" w:sz="12" w:space="0" w:color="000000"/>
              <w:bottom w:val="single" w:sz="12" w:space="0" w:color="000000"/>
            </w:tcBorders>
            <w:shd w:fill="auto" w:val="clear"/>
          </w:tcPr>
          <w:p>
            <w:pPr>
              <w:pStyle w:val="LOnormal"/>
              <w:widowControl w:val="false"/>
              <w:spacing w:lineRule="auto" w:line="240"/>
              <w:jc w:val="center"/>
              <w:rPr>
                <w:b/>
                <w:b/>
                <w:i/>
                <w:i/>
                <w:color w:val="0E101A"/>
              </w:rPr>
            </w:pPr>
            <w:r>
              <w:rPr>
                <w:rFonts w:ascii="arial" w:hAnsi="arial"/>
                <w:b/>
                <w:i/>
                <w:color w:val="0E101A"/>
              </w:rPr>
              <w:t xml:space="preserve">ARG Diversity </w:t>
            </w:r>
          </w:p>
          <w:p>
            <w:pPr>
              <w:pStyle w:val="LOnormal"/>
              <w:widowControl w:val="false"/>
              <w:spacing w:lineRule="auto" w:line="240"/>
              <w:jc w:val="center"/>
              <w:rPr>
                <w:b/>
                <w:b/>
                <w:i/>
                <w:i/>
                <w:color w:val="0E101A"/>
              </w:rPr>
            </w:pPr>
            <w:r>
              <w:rPr>
                <w:rFonts w:ascii="arial" w:hAnsi="arial"/>
                <w:b/>
                <w:i/>
                <w:color w:val="0E101A"/>
              </w:rPr>
              <w:t>(Shannon Index)</w:t>
            </w:r>
          </w:p>
        </w:tc>
        <w:tc>
          <w:tcPr>
            <w:tcW w:w="3620" w:type="dxa"/>
            <w:gridSpan w:val="3"/>
            <w:tcBorders>
              <w:top w:val="single" w:sz="12" w:space="0" w:color="000000"/>
              <w:bottom w:val="single" w:sz="12" w:space="0" w:color="000000"/>
              <w:right w:val="single" w:sz="2" w:space="0" w:color="FFFFFF"/>
            </w:tcBorders>
            <w:shd w:fill="auto" w:val="clear"/>
          </w:tcPr>
          <w:p>
            <w:pPr>
              <w:pStyle w:val="LOnormal"/>
              <w:widowControl w:val="false"/>
              <w:spacing w:lineRule="auto" w:line="240"/>
              <w:jc w:val="center"/>
              <w:rPr>
                <w:b/>
                <w:b/>
                <w:i/>
                <w:i/>
                <w:color w:val="0E101A"/>
              </w:rPr>
            </w:pPr>
            <w:r>
              <w:rPr>
                <w:rFonts w:ascii="arial" w:hAnsi="arial"/>
                <w:b/>
                <w:i/>
                <w:color w:val="0E101A"/>
              </w:rPr>
              <w:t xml:space="preserve">ARG Evenness </w:t>
            </w:r>
          </w:p>
          <w:p>
            <w:pPr>
              <w:pStyle w:val="LOnormal"/>
              <w:widowControl w:val="false"/>
              <w:spacing w:lineRule="auto" w:line="240"/>
              <w:jc w:val="center"/>
              <w:rPr>
                <w:b/>
                <w:b/>
                <w:i/>
                <w:i/>
                <w:color w:val="0E101A"/>
              </w:rPr>
            </w:pPr>
            <w:r>
              <w:rPr>
                <w:rFonts w:ascii="arial" w:hAnsi="arial"/>
                <w:b/>
                <w:i/>
                <w:color w:val="0E101A"/>
              </w:rPr>
              <w:t>(Simpson Index)</w:t>
            </w:r>
          </w:p>
        </w:tc>
      </w:tr>
      <w:tr>
        <w:trPr/>
        <w:tc>
          <w:tcPr>
            <w:tcW w:w="1983" w:type="dxa"/>
            <w:tcBorders>
              <w:top w:val="single" w:sz="12" w:space="0" w:color="000000"/>
              <w:bottom w:val="single" w:sz="8" w:space="0" w:color="000000"/>
            </w:tcBorders>
            <w:shd w:fill="auto" w:val="clear"/>
          </w:tcPr>
          <w:p>
            <w:pPr>
              <w:pStyle w:val="LOnormal"/>
              <w:widowControl w:val="false"/>
              <w:spacing w:lineRule="auto" w:line="240"/>
              <w:rPr>
                <w:color w:val="0E101A"/>
              </w:rPr>
            </w:pPr>
            <w:r>
              <w:rPr>
                <w:color w:val="0E101A"/>
              </w:rPr>
            </w:r>
          </w:p>
        </w:tc>
        <w:tc>
          <w:tcPr>
            <w:tcW w:w="638" w:type="dxa"/>
            <w:tcBorders>
              <w:top w:val="single" w:sz="12" w:space="0" w:color="000000"/>
              <w:bottom w:val="single" w:sz="8" w:space="0" w:color="000000"/>
            </w:tcBorders>
            <w:shd w:fill="auto" w:val="clear"/>
          </w:tcPr>
          <w:p>
            <w:pPr>
              <w:pStyle w:val="LOnormal"/>
              <w:widowControl w:val="false"/>
              <w:spacing w:lineRule="auto" w:line="240"/>
              <w:jc w:val="center"/>
              <w:rPr>
                <w:b/>
                <w:b/>
                <w:color w:val="0E101A"/>
              </w:rPr>
            </w:pPr>
            <w:r>
              <w:rPr>
                <w:rFonts w:ascii="arial" w:hAnsi="arial"/>
                <w:b/>
                <w:color w:val="0E101A"/>
              </w:rPr>
              <w:t>DF</w:t>
            </w:r>
          </w:p>
        </w:tc>
        <w:tc>
          <w:tcPr>
            <w:tcW w:w="1399" w:type="dxa"/>
            <w:tcBorders>
              <w:top w:val="single" w:sz="12" w:space="0" w:color="000000"/>
              <w:bottom w:val="single" w:sz="8" w:space="0" w:color="000000"/>
            </w:tcBorders>
            <w:shd w:fill="auto" w:val="clear"/>
          </w:tcPr>
          <w:p>
            <w:pPr>
              <w:pStyle w:val="LOnormal"/>
              <w:widowControl w:val="false"/>
              <w:spacing w:lineRule="auto" w:line="240"/>
              <w:jc w:val="center"/>
              <w:rPr>
                <w:b/>
                <w:b/>
                <w:color w:val="0E101A"/>
              </w:rPr>
            </w:pPr>
            <w:r>
              <w:rPr>
                <w:rFonts w:ascii="arial" w:hAnsi="arial"/>
                <w:b/>
                <w:color w:val="0E101A"/>
              </w:rPr>
              <w:t>Var. exp (%)</w:t>
            </w:r>
          </w:p>
        </w:tc>
        <w:tc>
          <w:tcPr>
            <w:tcW w:w="1204" w:type="dxa"/>
            <w:tcBorders>
              <w:top w:val="single" w:sz="12" w:space="0" w:color="000000"/>
              <w:bottom w:val="single" w:sz="8" w:space="0" w:color="000000"/>
            </w:tcBorders>
            <w:shd w:fill="auto" w:val="clear"/>
          </w:tcPr>
          <w:p>
            <w:pPr>
              <w:pStyle w:val="LOnormal"/>
              <w:widowControl w:val="false"/>
              <w:spacing w:lineRule="auto" w:line="240"/>
              <w:jc w:val="center"/>
              <w:rPr>
                <w:b/>
                <w:b/>
              </w:rPr>
            </w:pPr>
            <w:r>
              <w:rPr>
                <w:rFonts w:ascii="arial" w:hAnsi="arial"/>
                <w:b/>
              </w:rPr>
              <w:t>Chisq</w:t>
            </w:r>
          </w:p>
        </w:tc>
        <w:tc>
          <w:tcPr>
            <w:tcW w:w="1328" w:type="dxa"/>
            <w:tcBorders>
              <w:top w:val="single" w:sz="12" w:space="0" w:color="000000"/>
              <w:bottom w:val="single" w:sz="8" w:space="0" w:color="000000"/>
            </w:tcBorders>
            <w:shd w:fill="auto" w:val="clear"/>
          </w:tcPr>
          <w:p>
            <w:pPr>
              <w:pStyle w:val="LOnormal"/>
              <w:widowControl w:val="false"/>
              <w:spacing w:lineRule="auto" w:line="240"/>
              <w:jc w:val="center"/>
              <w:rPr>
                <w:b/>
                <w:b/>
              </w:rPr>
            </w:pPr>
            <w:r>
              <w:rPr>
                <w:rFonts w:ascii="arial" w:hAnsi="arial"/>
                <w:b/>
                <w:i/>
              </w:rPr>
              <w:t>p</w:t>
            </w:r>
            <w:r>
              <w:rPr>
                <w:rFonts w:ascii="arial" w:hAnsi="arial"/>
                <w:b/>
              </w:rPr>
              <w:t>-</w:t>
            </w:r>
          </w:p>
          <w:p>
            <w:pPr>
              <w:pStyle w:val="LOnormal"/>
              <w:widowControl w:val="false"/>
              <w:spacing w:lineRule="auto" w:line="240"/>
              <w:jc w:val="center"/>
              <w:rPr>
                <w:b/>
                <w:b/>
              </w:rPr>
            </w:pPr>
            <w:r>
              <w:rPr>
                <w:rFonts w:ascii="arial" w:hAnsi="arial"/>
                <w:b/>
              </w:rPr>
              <w:t>value</w:t>
            </w:r>
          </w:p>
        </w:tc>
        <w:tc>
          <w:tcPr>
            <w:tcW w:w="1236" w:type="dxa"/>
            <w:tcBorders>
              <w:top w:val="single" w:sz="12" w:space="0" w:color="000000"/>
              <w:bottom w:val="single" w:sz="8" w:space="0" w:color="000000"/>
            </w:tcBorders>
            <w:shd w:fill="auto" w:val="clear"/>
          </w:tcPr>
          <w:p>
            <w:pPr>
              <w:pStyle w:val="LOnormal"/>
              <w:widowControl w:val="false"/>
              <w:spacing w:lineRule="auto" w:line="240"/>
              <w:jc w:val="center"/>
              <w:rPr>
                <w:b/>
                <w:b/>
                <w:color w:val="0E101A"/>
              </w:rPr>
            </w:pPr>
            <w:r>
              <w:rPr>
                <w:rFonts w:ascii="arial" w:hAnsi="arial"/>
                <w:b/>
                <w:color w:val="0E101A"/>
              </w:rPr>
              <w:t>Var. exp (%)</w:t>
            </w:r>
          </w:p>
        </w:tc>
        <w:tc>
          <w:tcPr>
            <w:tcW w:w="1192" w:type="dxa"/>
            <w:tcBorders>
              <w:top w:val="single" w:sz="12" w:space="0" w:color="000000"/>
              <w:bottom w:val="single" w:sz="8" w:space="0" w:color="000000"/>
            </w:tcBorders>
            <w:shd w:fill="auto" w:val="clear"/>
          </w:tcPr>
          <w:p>
            <w:pPr>
              <w:pStyle w:val="LOnormal"/>
              <w:widowControl w:val="false"/>
              <w:spacing w:lineRule="auto" w:line="240"/>
              <w:jc w:val="center"/>
              <w:rPr>
                <w:b/>
                <w:b/>
              </w:rPr>
            </w:pPr>
            <w:r>
              <w:rPr>
                <w:rFonts w:ascii="arial" w:hAnsi="arial"/>
                <w:b/>
              </w:rPr>
              <w:t>Chisq</w:t>
            </w:r>
          </w:p>
        </w:tc>
        <w:tc>
          <w:tcPr>
            <w:tcW w:w="1349" w:type="dxa"/>
            <w:tcBorders>
              <w:top w:val="single" w:sz="12" w:space="0" w:color="000000"/>
              <w:bottom w:val="single" w:sz="8" w:space="0" w:color="000000"/>
            </w:tcBorders>
            <w:shd w:fill="auto" w:val="clear"/>
          </w:tcPr>
          <w:p>
            <w:pPr>
              <w:pStyle w:val="LOnormal"/>
              <w:widowControl w:val="false"/>
              <w:spacing w:lineRule="auto" w:line="240"/>
              <w:jc w:val="center"/>
              <w:rPr>
                <w:b/>
                <w:b/>
              </w:rPr>
            </w:pPr>
            <w:r>
              <w:rPr>
                <w:rFonts w:ascii="arial" w:hAnsi="arial"/>
                <w:b/>
                <w:i/>
              </w:rPr>
              <w:t>p</w:t>
            </w:r>
            <w:r>
              <w:rPr>
                <w:rFonts w:ascii="arial" w:hAnsi="arial"/>
                <w:b/>
              </w:rPr>
              <w:t>-</w:t>
            </w:r>
          </w:p>
          <w:p>
            <w:pPr>
              <w:pStyle w:val="LOnormal"/>
              <w:widowControl w:val="false"/>
              <w:spacing w:lineRule="auto" w:line="240"/>
              <w:jc w:val="center"/>
              <w:rPr>
                <w:b/>
                <w:b/>
              </w:rPr>
            </w:pPr>
            <w:r>
              <w:rPr>
                <w:rFonts w:ascii="arial" w:hAnsi="arial"/>
                <w:b/>
              </w:rPr>
              <w:t>value</w:t>
            </w:r>
          </w:p>
        </w:tc>
        <w:tc>
          <w:tcPr>
            <w:tcW w:w="1145" w:type="dxa"/>
            <w:tcBorders>
              <w:top w:val="single" w:sz="12" w:space="0" w:color="000000"/>
              <w:bottom w:val="single" w:sz="8" w:space="0" w:color="000000"/>
            </w:tcBorders>
            <w:shd w:fill="auto" w:val="clear"/>
          </w:tcPr>
          <w:p>
            <w:pPr>
              <w:pStyle w:val="LOnormal"/>
              <w:widowControl w:val="false"/>
              <w:spacing w:lineRule="auto" w:line="240"/>
              <w:jc w:val="center"/>
              <w:rPr>
                <w:b/>
                <w:b/>
                <w:color w:val="0E101A"/>
              </w:rPr>
            </w:pPr>
            <w:r>
              <w:rPr>
                <w:rFonts w:ascii="arial" w:hAnsi="arial"/>
                <w:b/>
                <w:color w:val="0E101A"/>
              </w:rPr>
              <w:t>Var. exp (%)</w:t>
            </w:r>
          </w:p>
        </w:tc>
        <w:tc>
          <w:tcPr>
            <w:tcW w:w="1173" w:type="dxa"/>
            <w:tcBorders>
              <w:top w:val="single" w:sz="12" w:space="0" w:color="000000"/>
              <w:bottom w:val="single" w:sz="8" w:space="0" w:color="000000"/>
            </w:tcBorders>
            <w:shd w:fill="auto" w:val="clear"/>
          </w:tcPr>
          <w:p>
            <w:pPr>
              <w:pStyle w:val="LOnormal"/>
              <w:widowControl w:val="false"/>
              <w:spacing w:lineRule="auto" w:line="240"/>
              <w:jc w:val="center"/>
              <w:rPr>
                <w:b/>
                <w:b/>
              </w:rPr>
            </w:pPr>
            <w:r>
              <w:rPr>
                <w:rFonts w:ascii="arial" w:hAnsi="arial"/>
                <w:b/>
              </w:rPr>
              <w:t>Chisq</w:t>
            </w:r>
          </w:p>
        </w:tc>
        <w:tc>
          <w:tcPr>
            <w:tcW w:w="1302" w:type="dxa"/>
            <w:tcBorders>
              <w:top w:val="single" w:sz="12" w:space="0" w:color="000000"/>
              <w:bottom w:val="single" w:sz="8" w:space="0" w:color="000000"/>
            </w:tcBorders>
            <w:shd w:fill="auto" w:val="clear"/>
          </w:tcPr>
          <w:p>
            <w:pPr>
              <w:pStyle w:val="LOnormal"/>
              <w:widowControl w:val="false"/>
              <w:spacing w:lineRule="auto" w:line="240"/>
              <w:jc w:val="center"/>
              <w:rPr>
                <w:b/>
                <w:b/>
              </w:rPr>
            </w:pPr>
            <w:r>
              <w:rPr>
                <w:rFonts w:ascii="arial" w:hAnsi="arial"/>
                <w:b/>
                <w:i/>
              </w:rPr>
              <w:t>p</w:t>
            </w:r>
            <w:r>
              <w:rPr>
                <w:rFonts w:ascii="arial" w:hAnsi="arial"/>
                <w:b/>
              </w:rPr>
              <w:t>-</w:t>
            </w:r>
          </w:p>
          <w:p>
            <w:pPr>
              <w:pStyle w:val="LOnormal"/>
              <w:widowControl w:val="false"/>
              <w:spacing w:lineRule="auto" w:line="240"/>
              <w:jc w:val="center"/>
              <w:rPr>
                <w:b/>
                <w:b/>
              </w:rPr>
            </w:pPr>
            <w:r>
              <w:rPr>
                <w:rFonts w:ascii="arial" w:hAnsi="arial"/>
                <w:b/>
              </w:rPr>
              <w:t>value</w:t>
            </w:r>
          </w:p>
        </w:tc>
      </w:tr>
      <w:tr>
        <w:trPr/>
        <w:tc>
          <w:tcPr>
            <w:tcW w:w="1983" w:type="dxa"/>
            <w:tcBorders>
              <w:top w:val="single" w:sz="8" w:space="0" w:color="000000"/>
              <w:bottom w:val="single" w:sz="8" w:space="0" w:color="000000"/>
            </w:tcBorders>
            <w:shd w:fill="auto" w:val="clear"/>
          </w:tcPr>
          <w:p>
            <w:pPr>
              <w:pStyle w:val="LOnormal"/>
              <w:widowControl w:val="false"/>
              <w:spacing w:lineRule="auto" w:line="240"/>
              <w:jc w:val="center"/>
              <w:rPr>
                <w:b/>
                <w:b/>
                <w:i/>
                <w:i/>
                <w:color w:val="0E101A"/>
              </w:rPr>
            </w:pPr>
            <w:r>
              <w:rPr>
                <w:rFonts w:ascii="arial" w:hAnsi="arial"/>
                <w:b/>
                <w:i/>
                <w:color w:val="0E101A"/>
              </w:rPr>
              <w:t>Hybridicity</w:t>
            </w:r>
          </w:p>
        </w:tc>
        <w:tc>
          <w:tcPr>
            <w:tcW w:w="638"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1</w:t>
            </w:r>
          </w:p>
        </w:tc>
        <w:tc>
          <w:tcPr>
            <w:tcW w:w="1399"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3.41</w:t>
            </w:r>
          </w:p>
        </w:tc>
        <w:tc>
          <w:tcPr>
            <w:tcW w:w="1204"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7.89</w:t>
            </w:r>
          </w:p>
          <w:p>
            <w:pPr>
              <w:pStyle w:val="LOnormal"/>
              <w:widowControl w:val="false"/>
              <w:spacing w:lineRule="auto" w:line="240"/>
              <w:jc w:val="left"/>
              <w:rPr>
                <w:color w:val="0E101A"/>
              </w:rPr>
            </w:pPr>
            <w:r>
              <w:rPr>
                <w:color w:val="0E101A"/>
              </w:rPr>
            </w:r>
          </w:p>
        </w:tc>
        <w:tc>
          <w:tcPr>
            <w:tcW w:w="1328" w:type="dxa"/>
            <w:tcBorders>
              <w:top w:val="single" w:sz="8" w:space="0" w:color="000000"/>
              <w:bottom w:val="single" w:sz="8" w:space="0" w:color="000000"/>
            </w:tcBorders>
            <w:shd w:fill="auto" w:val="clear"/>
          </w:tcPr>
          <w:p>
            <w:pPr>
              <w:pStyle w:val="LOnormal"/>
              <w:widowControl w:val="false"/>
              <w:spacing w:lineRule="auto" w:line="240"/>
              <w:jc w:val="center"/>
              <w:rPr>
                <w:b/>
                <w:b/>
                <w:color w:val="0E101A"/>
              </w:rPr>
            </w:pPr>
            <w:r>
              <w:rPr>
                <w:rFonts w:ascii="arial" w:hAnsi="arial"/>
                <w:b/>
                <w:color w:val="0E101A"/>
              </w:rPr>
              <w:t xml:space="preserve">0.005 </w:t>
            </w:r>
          </w:p>
          <w:p>
            <w:pPr>
              <w:pStyle w:val="LOnormal"/>
              <w:widowControl w:val="false"/>
              <w:spacing w:lineRule="auto" w:line="240"/>
              <w:jc w:val="center"/>
              <w:rPr>
                <w:b/>
                <w:b/>
                <w:color w:val="0E101A"/>
              </w:rPr>
            </w:pPr>
            <w:r>
              <w:rPr>
                <w:rFonts w:ascii="arial" w:hAnsi="arial"/>
                <w:b/>
                <w:color w:val="0E101A"/>
              </w:rPr>
              <w:t>**</w:t>
            </w:r>
          </w:p>
        </w:tc>
        <w:tc>
          <w:tcPr>
            <w:tcW w:w="1236"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2.82</w:t>
            </w:r>
          </w:p>
        </w:tc>
        <w:tc>
          <w:tcPr>
            <w:tcW w:w="1192"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2.77</w:t>
            </w:r>
          </w:p>
          <w:p>
            <w:pPr>
              <w:pStyle w:val="LOnormal"/>
              <w:widowControl w:val="false"/>
              <w:spacing w:lineRule="auto" w:line="240"/>
              <w:jc w:val="center"/>
              <w:rPr>
                <w:color w:val="0E101A"/>
              </w:rPr>
            </w:pPr>
            <w:r>
              <w:rPr>
                <w:color w:val="0E101A"/>
              </w:rPr>
            </w:r>
          </w:p>
        </w:tc>
        <w:tc>
          <w:tcPr>
            <w:tcW w:w="1349"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0.096</w:t>
            </w:r>
          </w:p>
          <w:p>
            <w:pPr>
              <w:pStyle w:val="LOnormal"/>
              <w:widowControl w:val="false"/>
              <w:spacing w:lineRule="auto" w:line="240"/>
              <w:jc w:val="center"/>
              <w:rPr>
                <w:color w:val="0E101A"/>
              </w:rPr>
            </w:pPr>
            <w:r>
              <w:rPr>
                <w:color w:val="0E101A"/>
              </w:rPr>
            </w:r>
          </w:p>
        </w:tc>
        <w:tc>
          <w:tcPr>
            <w:tcW w:w="1145"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7E-4</w:t>
            </w:r>
          </w:p>
        </w:tc>
        <w:tc>
          <w:tcPr>
            <w:tcW w:w="1173"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0.015</w:t>
            </w:r>
          </w:p>
        </w:tc>
        <w:tc>
          <w:tcPr>
            <w:tcW w:w="1302"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0.903</w:t>
            </w:r>
          </w:p>
        </w:tc>
      </w:tr>
      <w:tr>
        <w:trPr/>
        <w:tc>
          <w:tcPr>
            <w:tcW w:w="1983" w:type="dxa"/>
            <w:tcBorders>
              <w:top w:val="single" w:sz="8" w:space="0" w:color="000000"/>
              <w:bottom w:val="single" w:sz="8" w:space="0" w:color="000000"/>
            </w:tcBorders>
            <w:shd w:fill="auto" w:val="clear"/>
          </w:tcPr>
          <w:p>
            <w:pPr>
              <w:pStyle w:val="LOnormal"/>
              <w:widowControl w:val="false"/>
              <w:spacing w:lineRule="auto" w:line="240"/>
              <w:jc w:val="center"/>
              <w:rPr>
                <w:b/>
                <w:b/>
                <w:i/>
                <w:i/>
                <w:color w:val="0E101A"/>
              </w:rPr>
            </w:pPr>
            <w:r>
              <w:rPr>
                <w:rFonts w:ascii="arial" w:hAnsi="arial"/>
                <w:b/>
                <w:i/>
                <w:color w:val="0E101A"/>
              </w:rPr>
              <w:t>Year of collection</w:t>
            </w:r>
          </w:p>
        </w:tc>
        <w:tc>
          <w:tcPr>
            <w:tcW w:w="638"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3</w:t>
            </w:r>
          </w:p>
        </w:tc>
        <w:tc>
          <w:tcPr>
            <w:tcW w:w="1399"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2.54</w:t>
            </w:r>
          </w:p>
        </w:tc>
        <w:tc>
          <w:tcPr>
            <w:tcW w:w="1204"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0.14</w:t>
            </w:r>
          </w:p>
        </w:tc>
        <w:tc>
          <w:tcPr>
            <w:tcW w:w="1328"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0.931</w:t>
            </w:r>
          </w:p>
        </w:tc>
        <w:tc>
          <w:tcPr>
            <w:tcW w:w="1236"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1.36</w:t>
            </w:r>
          </w:p>
        </w:tc>
        <w:tc>
          <w:tcPr>
            <w:tcW w:w="1192"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1.16</w:t>
            </w:r>
          </w:p>
        </w:tc>
        <w:tc>
          <w:tcPr>
            <w:tcW w:w="1349"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0.56</w:t>
            </w:r>
          </w:p>
        </w:tc>
        <w:tc>
          <w:tcPr>
            <w:tcW w:w="1145"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2.5</w:t>
            </w:r>
          </w:p>
        </w:tc>
        <w:tc>
          <w:tcPr>
            <w:tcW w:w="1173"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1.96</w:t>
            </w:r>
          </w:p>
        </w:tc>
        <w:tc>
          <w:tcPr>
            <w:tcW w:w="1302"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0.376</w:t>
            </w:r>
          </w:p>
        </w:tc>
      </w:tr>
      <w:tr>
        <w:trPr/>
        <w:tc>
          <w:tcPr>
            <w:tcW w:w="1983" w:type="dxa"/>
            <w:tcBorders>
              <w:top w:val="single" w:sz="8" w:space="0" w:color="000000"/>
              <w:bottom w:val="single" w:sz="8" w:space="0" w:color="000000"/>
            </w:tcBorders>
            <w:shd w:fill="auto" w:val="clear"/>
          </w:tcPr>
          <w:p>
            <w:pPr>
              <w:pStyle w:val="LOnormal"/>
              <w:widowControl w:val="false"/>
              <w:spacing w:lineRule="auto" w:line="240"/>
              <w:jc w:val="center"/>
              <w:rPr>
                <w:b/>
                <w:b/>
                <w:i/>
                <w:i/>
                <w:color w:val="0E101A"/>
              </w:rPr>
            </w:pPr>
            <w:r>
              <w:rPr>
                <w:rFonts w:ascii="arial" w:hAnsi="arial"/>
                <w:b/>
                <w:i/>
                <w:color w:val="0E101A"/>
              </w:rPr>
              <w:t>Locality</w:t>
            </w:r>
          </w:p>
        </w:tc>
        <w:tc>
          <w:tcPr>
            <w:tcW w:w="638"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159</w:t>
            </w:r>
          </w:p>
        </w:tc>
        <w:tc>
          <w:tcPr>
            <w:tcW w:w="1399"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63.6</w:t>
            </w:r>
          </w:p>
        </w:tc>
        <w:tc>
          <w:tcPr>
            <w:tcW w:w="1204"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208.42</w:t>
            </w:r>
          </w:p>
        </w:tc>
        <w:tc>
          <w:tcPr>
            <w:tcW w:w="1328" w:type="dxa"/>
            <w:tcBorders>
              <w:top w:val="single" w:sz="8" w:space="0" w:color="000000"/>
              <w:bottom w:val="single" w:sz="8" w:space="0" w:color="000000"/>
            </w:tcBorders>
            <w:shd w:fill="auto" w:val="clear"/>
          </w:tcPr>
          <w:p>
            <w:pPr>
              <w:pStyle w:val="LOnormal"/>
              <w:widowControl w:val="false"/>
              <w:spacing w:lineRule="auto" w:line="240"/>
              <w:jc w:val="center"/>
              <w:rPr>
                <w:b/>
                <w:b/>
                <w:color w:val="0E101A"/>
              </w:rPr>
            </w:pPr>
            <w:r>
              <w:rPr>
                <w:rFonts w:ascii="arial" w:hAnsi="arial"/>
                <w:b/>
                <w:color w:val="0E101A"/>
              </w:rPr>
              <w:t xml:space="preserve">0.005 </w:t>
            </w:r>
          </w:p>
          <w:p>
            <w:pPr>
              <w:pStyle w:val="LOnormal"/>
              <w:widowControl w:val="false"/>
              <w:spacing w:lineRule="auto" w:line="240"/>
              <w:jc w:val="center"/>
              <w:rPr>
                <w:b/>
                <w:b/>
                <w:color w:val="0E101A"/>
              </w:rPr>
            </w:pPr>
            <w:r>
              <w:rPr>
                <w:rFonts w:ascii="arial" w:hAnsi="arial"/>
                <w:b/>
                <w:color w:val="0E101A"/>
              </w:rPr>
              <w:t>**</w:t>
            </w:r>
          </w:p>
        </w:tc>
        <w:tc>
          <w:tcPr>
            <w:tcW w:w="1236"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61.45</w:t>
            </w:r>
          </w:p>
        </w:tc>
        <w:tc>
          <w:tcPr>
            <w:tcW w:w="1192"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210.04</w:t>
            </w:r>
          </w:p>
          <w:p>
            <w:pPr>
              <w:pStyle w:val="LOnormal"/>
              <w:widowControl w:val="false"/>
              <w:spacing w:lineRule="auto" w:line="240"/>
              <w:jc w:val="center"/>
              <w:rPr>
                <w:color w:val="0E101A"/>
              </w:rPr>
            </w:pPr>
            <w:r>
              <w:rPr>
                <w:color w:val="0E101A"/>
              </w:rPr>
            </w:r>
          </w:p>
        </w:tc>
        <w:tc>
          <w:tcPr>
            <w:tcW w:w="1349" w:type="dxa"/>
            <w:tcBorders>
              <w:top w:val="single" w:sz="8" w:space="0" w:color="000000"/>
              <w:bottom w:val="single" w:sz="8" w:space="0" w:color="000000"/>
            </w:tcBorders>
            <w:shd w:fill="auto" w:val="clear"/>
          </w:tcPr>
          <w:p>
            <w:pPr>
              <w:pStyle w:val="LOnormal"/>
              <w:widowControl w:val="false"/>
              <w:spacing w:lineRule="auto" w:line="240"/>
              <w:jc w:val="center"/>
              <w:rPr>
                <w:b/>
                <w:b/>
                <w:color w:val="0E101A"/>
              </w:rPr>
            </w:pPr>
            <w:r>
              <w:rPr>
                <w:rFonts w:ascii="arial" w:hAnsi="arial"/>
                <w:b/>
                <w:color w:val="0E101A"/>
              </w:rPr>
              <w:t>0.004</w:t>
            </w:r>
          </w:p>
          <w:p>
            <w:pPr>
              <w:pStyle w:val="LOnormal"/>
              <w:widowControl w:val="false"/>
              <w:spacing w:lineRule="auto" w:line="240"/>
              <w:jc w:val="center"/>
              <w:rPr>
                <w:b/>
                <w:b/>
                <w:color w:val="0E101A"/>
              </w:rPr>
            </w:pPr>
            <w:r>
              <w:rPr>
                <w:rFonts w:ascii="arial" w:hAnsi="arial"/>
                <w:b/>
                <w:color w:val="0E101A"/>
              </w:rPr>
              <w:t>**</w:t>
            </w:r>
          </w:p>
        </w:tc>
        <w:tc>
          <w:tcPr>
            <w:tcW w:w="1145"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59.48</w:t>
            </w:r>
          </w:p>
        </w:tc>
        <w:tc>
          <w:tcPr>
            <w:tcW w:w="1173" w:type="dxa"/>
            <w:tcBorders>
              <w:top w:val="single" w:sz="8" w:space="0" w:color="000000"/>
              <w:bottom w:val="single" w:sz="8" w:space="0" w:color="000000"/>
            </w:tcBorders>
            <w:shd w:fill="auto" w:val="clear"/>
          </w:tcPr>
          <w:p>
            <w:pPr>
              <w:pStyle w:val="LOnormal"/>
              <w:widowControl w:val="false"/>
              <w:spacing w:lineRule="auto" w:line="240"/>
              <w:jc w:val="center"/>
              <w:rPr>
                <w:color w:val="0E101A"/>
              </w:rPr>
            </w:pPr>
            <w:r>
              <w:rPr>
                <w:rFonts w:ascii="arial" w:hAnsi="arial"/>
                <w:color w:val="0E101A"/>
              </w:rPr>
              <w:t>219.25</w:t>
            </w:r>
          </w:p>
        </w:tc>
        <w:tc>
          <w:tcPr>
            <w:tcW w:w="1302" w:type="dxa"/>
            <w:tcBorders>
              <w:top w:val="single" w:sz="8" w:space="0" w:color="000000"/>
              <w:bottom w:val="single" w:sz="8" w:space="0" w:color="000000"/>
            </w:tcBorders>
            <w:shd w:fill="auto" w:val="clear"/>
          </w:tcPr>
          <w:p>
            <w:pPr>
              <w:pStyle w:val="LOnormal"/>
              <w:widowControl w:val="false"/>
              <w:spacing w:lineRule="auto" w:line="240"/>
              <w:jc w:val="center"/>
              <w:rPr>
                <w:b/>
                <w:b/>
                <w:color w:val="0E101A"/>
              </w:rPr>
            </w:pPr>
            <w:r>
              <w:rPr>
                <w:rFonts w:ascii="arial" w:hAnsi="arial"/>
                <w:b/>
                <w:color w:val="0E101A"/>
              </w:rPr>
              <w:t xml:space="preserve">0.001 </w:t>
            </w:r>
          </w:p>
          <w:p>
            <w:pPr>
              <w:pStyle w:val="LOnormal"/>
              <w:widowControl w:val="false"/>
              <w:spacing w:lineRule="auto" w:line="240"/>
              <w:jc w:val="center"/>
              <w:rPr>
                <w:b/>
                <w:b/>
                <w:color w:val="0E101A"/>
              </w:rPr>
            </w:pPr>
            <w:r>
              <w:rPr>
                <w:rFonts w:ascii="arial" w:hAnsi="arial"/>
                <w:b/>
                <w:color w:val="0E101A"/>
              </w:rPr>
              <w:t>**</w:t>
            </w:r>
          </w:p>
        </w:tc>
      </w:tr>
      <w:tr>
        <w:trPr/>
        <w:tc>
          <w:tcPr>
            <w:tcW w:w="1983" w:type="dxa"/>
            <w:tcBorders>
              <w:top w:val="single" w:sz="8" w:space="0" w:color="000000"/>
              <w:bottom w:val="single" w:sz="8" w:space="0" w:color="000000"/>
            </w:tcBorders>
            <w:shd w:fill="auto" w:val="clear"/>
            <w:vAlign w:val="center"/>
          </w:tcPr>
          <w:p>
            <w:pPr>
              <w:pStyle w:val="LOnormal"/>
              <w:widowControl w:val="false"/>
              <w:spacing w:lineRule="auto" w:line="240"/>
              <w:jc w:val="center"/>
              <w:rPr>
                <w:b/>
                <w:b/>
                <w:i/>
                <w:i/>
                <w:color w:val="0E101A"/>
              </w:rPr>
            </w:pPr>
            <w:r>
              <w:rPr>
                <w:rFonts w:ascii="arial" w:hAnsi="arial"/>
                <w:b/>
                <w:i/>
                <w:color w:val="0E101A"/>
              </w:rPr>
              <w:t>Bacteria richness</w:t>
            </w:r>
          </w:p>
        </w:tc>
        <w:tc>
          <w:tcPr>
            <w:tcW w:w="638"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1</w:t>
            </w:r>
          </w:p>
        </w:tc>
        <w:tc>
          <w:tcPr>
            <w:tcW w:w="1399"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6.47</w:t>
            </w:r>
          </w:p>
        </w:tc>
        <w:tc>
          <w:tcPr>
            <w:tcW w:w="1204"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37.69</w:t>
            </w:r>
          </w:p>
        </w:tc>
        <w:tc>
          <w:tcPr>
            <w:tcW w:w="1328" w:type="dxa"/>
            <w:tcBorders>
              <w:top w:val="single" w:sz="8" w:space="0" w:color="000000"/>
              <w:bottom w:val="single" w:sz="8" w:space="0" w:color="000000"/>
            </w:tcBorders>
            <w:shd w:fill="auto" w:val="clear"/>
            <w:vAlign w:val="center"/>
          </w:tcPr>
          <w:p>
            <w:pPr>
              <w:pStyle w:val="LOnormal"/>
              <w:widowControl w:val="false"/>
              <w:spacing w:lineRule="auto" w:line="240"/>
              <w:jc w:val="center"/>
              <w:rPr>
                <w:b/>
                <w:b/>
                <w:color w:val="0E101A"/>
              </w:rPr>
            </w:pPr>
            <w:r>
              <w:rPr>
                <w:rFonts w:ascii="arial" w:hAnsi="arial"/>
                <w:b/>
                <w:color w:val="0E101A"/>
              </w:rPr>
              <w:t>8.3E-10</w:t>
            </w:r>
          </w:p>
          <w:p>
            <w:pPr>
              <w:pStyle w:val="LOnormal"/>
              <w:widowControl w:val="false"/>
              <w:spacing w:lineRule="auto" w:line="240"/>
              <w:jc w:val="center"/>
              <w:rPr>
                <w:b/>
                <w:b/>
                <w:color w:val="0E101A"/>
              </w:rPr>
            </w:pPr>
            <w:r>
              <w:rPr>
                <w:rFonts w:ascii="arial" w:hAnsi="arial"/>
                <w:b/>
                <w:color w:val="0E101A"/>
              </w:rPr>
              <w:t>***</w:t>
            </w:r>
          </w:p>
        </w:tc>
        <w:tc>
          <w:tcPr>
            <w:tcW w:w="1236"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0.96</w:t>
            </w:r>
          </w:p>
        </w:tc>
        <w:tc>
          <w:tcPr>
            <w:tcW w:w="1192"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27.85</w:t>
            </w:r>
          </w:p>
        </w:tc>
        <w:tc>
          <w:tcPr>
            <w:tcW w:w="1349" w:type="dxa"/>
            <w:tcBorders>
              <w:top w:val="single" w:sz="8" w:space="0" w:color="000000"/>
              <w:bottom w:val="single" w:sz="8" w:space="0" w:color="000000"/>
            </w:tcBorders>
            <w:shd w:fill="auto" w:val="clear"/>
            <w:vAlign w:val="center"/>
          </w:tcPr>
          <w:p>
            <w:pPr>
              <w:pStyle w:val="LOnormal"/>
              <w:widowControl w:val="false"/>
              <w:spacing w:lineRule="auto" w:line="240"/>
              <w:jc w:val="center"/>
              <w:rPr>
                <w:b/>
                <w:b/>
                <w:color w:val="0E101A"/>
              </w:rPr>
            </w:pPr>
            <w:r>
              <w:rPr>
                <w:rFonts w:ascii="arial" w:hAnsi="arial"/>
                <w:b/>
                <w:color w:val="0E101A"/>
              </w:rPr>
              <w:t>1.3E-7</w:t>
            </w:r>
          </w:p>
          <w:p>
            <w:pPr>
              <w:pStyle w:val="LOnormal"/>
              <w:widowControl w:val="false"/>
              <w:spacing w:lineRule="auto" w:line="240"/>
              <w:jc w:val="center"/>
              <w:rPr>
                <w:b/>
                <w:b/>
                <w:color w:val="0E101A"/>
              </w:rPr>
            </w:pPr>
            <w:r>
              <w:rPr>
                <w:rFonts w:ascii="arial" w:hAnsi="arial"/>
                <w:b/>
                <w:color w:val="0E101A"/>
              </w:rPr>
              <w:t>***</w:t>
            </w:r>
          </w:p>
        </w:tc>
        <w:tc>
          <w:tcPr>
            <w:tcW w:w="1145"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2.44</w:t>
            </w:r>
          </w:p>
        </w:tc>
        <w:tc>
          <w:tcPr>
            <w:tcW w:w="1173"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0.24</w:t>
            </w:r>
          </w:p>
        </w:tc>
        <w:tc>
          <w:tcPr>
            <w:tcW w:w="1302"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0.625</w:t>
            </w:r>
          </w:p>
        </w:tc>
      </w:tr>
      <w:tr>
        <w:trPr/>
        <w:tc>
          <w:tcPr>
            <w:tcW w:w="1983" w:type="dxa"/>
            <w:tcBorders>
              <w:top w:val="single" w:sz="8" w:space="0" w:color="000000"/>
              <w:bottom w:val="single" w:sz="8" w:space="0" w:color="000000"/>
            </w:tcBorders>
            <w:shd w:fill="auto" w:val="clear"/>
            <w:vAlign w:val="center"/>
          </w:tcPr>
          <w:p>
            <w:pPr>
              <w:pStyle w:val="LOnormal"/>
              <w:widowControl w:val="false"/>
              <w:spacing w:lineRule="auto" w:line="240"/>
              <w:jc w:val="center"/>
              <w:rPr>
                <w:b/>
                <w:b/>
                <w:i/>
                <w:i/>
                <w:color w:val="0E101A"/>
              </w:rPr>
            </w:pPr>
            <w:r>
              <w:rPr>
                <w:rFonts w:ascii="arial" w:hAnsi="arial"/>
                <w:b/>
                <w:i/>
                <w:color w:val="0E101A"/>
              </w:rPr>
              <w:t>Firmicutes abundance</w:t>
            </w:r>
          </w:p>
        </w:tc>
        <w:tc>
          <w:tcPr>
            <w:tcW w:w="638"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1</w:t>
            </w:r>
          </w:p>
        </w:tc>
        <w:tc>
          <w:tcPr>
            <w:tcW w:w="1399"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0.67</w:t>
            </w:r>
          </w:p>
        </w:tc>
        <w:tc>
          <w:tcPr>
            <w:tcW w:w="1204"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13.87</w:t>
            </w:r>
          </w:p>
        </w:tc>
        <w:tc>
          <w:tcPr>
            <w:tcW w:w="1328" w:type="dxa"/>
            <w:tcBorders>
              <w:top w:val="single" w:sz="8" w:space="0" w:color="000000"/>
              <w:bottom w:val="single" w:sz="8" w:space="0" w:color="000000"/>
            </w:tcBorders>
            <w:shd w:fill="auto" w:val="clear"/>
            <w:vAlign w:val="center"/>
          </w:tcPr>
          <w:p>
            <w:pPr>
              <w:pStyle w:val="LOnormal"/>
              <w:widowControl w:val="false"/>
              <w:spacing w:lineRule="auto" w:line="240"/>
              <w:jc w:val="center"/>
              <w:rPr>
                <w:b/>
                <w:b/>
                <w:color w:val="0E101A"/>
              </w:rPr>
            </w:pPr>
            <w:r>
              <w:rPr>
                <w:rFonts w:ascii="arial" w:hAnsi="arial"/>
                <w:b/>
                <w:color w:val="0E101A"/>
              </w:rPr>
              <w:t xml:space="preserve">1.97E-4 </w:t>
            </w:r>
          </w:p>
          <w:p>
            <w:pPr>
              <w:pStyle w:val="LOnormal"/>
              <w:widowControl w:val="false"/>
              <w:spacing w:lineRule="auto" w:line="240"/>
              <w:jc w:val="center"/>
              <w:rPr>
                <w:b/>
                <w:b/>
                <w:color w:val="0E101A"/>
              </w:rPr>
            </w:pPr>
            <w:r>
              <w:rPr>
                <w:rFonts w:ascii="arial" w:hAnsi="arial"/>
                <w:b/>
                <w:color w:val="0E101A"/>
              </w:rPr>
              <w:t>***</w:t>
            </w:r>
          </w:p>
        </w:tc>
        <w:tc>
          <w:tcPr>
            <w:tcW w:w="1236"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4.66</w:t>
            </w:r>
          </w:p>
        </w:tc>
        <w:tc>
          <w:tcPr>
            <w:tcW w:w="1192"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48.45</w:t>
            </w:r>
          </w:p>
        </w:tc>
        <w:tc>
          <w:tcPr>
            <w:tcW w:w="1349" w:type="dxa"/>
            <w:tcBorders>
              <w:top w:val="single" w:sz="8" w:space="0" w:color="000000"/>
              <w:bottom w:val="single" w:sz="8" w:space="0" w:color="000000"/>
            </w:tcBorders>
            <w:shd w:fill="auto" w:val="clear"/>
            <w:vAlign w:val="center"/>
          </w:tcPr>
          <w:p>
            <w:pPr>
              <w:pStyle w:val="LOnormal"/>
              <w:widowControl w:val="false"/>
              <w:spacing w:lineRule="auto" w:line="240"/>
              <w:jc w:val="center"/>
              <w:rPr>
                <w:b/>
                <w:b/>
                <w:color w:val="0E101A"/>
              </w:rPr>
            </w:pPr>
            <w:r>
              <w:rPr>
                <w:rFonts w:ascii="arial" w:hAnsi="arial"/>
                <w:b/>
                <w:color w:val="0E101A"/>
              </w:rPr>
              <w:t>3.4E-12</w:t>
            </w:r>
          </w:p>
          <w:p>
            <w:pPr>
              <w:pStyle w:val="LOnormal"/>
              <w:widowControl w:val="false"/>
              <w:spacing w:lineRule="auto" w:line="240"/>
              <w:jc w:val="center"/>
              <w:rPr>
                <w:b/>
                <w:b/>
                <w:color w:val="0E101A"/>
              </w:rPr>
            </w:pPr>
            <w:r>
              <w:rPr>
                <w:rFonts w:ascii="arial" w:hAnsi="arial"/>
                <w:b/>
                <w:color w:val="0E101A"/>
              </w:rPr>
              <w:t>***</w:t>
            </w:r>
          </w:p>
        </w:tc>
        <w:tc>
          <w:tcPr>
            <w:tcW w:w="1145"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2.96</w:t>
            </w:r>
          </w:p>
        </w:tc>
        <w:tc>
          <w:tcPr>
            <w:tcW w:w="1173"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18.42</w:t>
            </w:r>
          </w:p>
        </w:tc>
        <w:tc>
          <w:tcPr>
            <w:tcW w:w="1302" w:type="dxa"/>
            <w:tcBorders>
              <w:top w:val="single" w:sz="8" w:space="0" w:color="000000"/>
              <w:bottom w:val="single" w:sz="8" w:space="0" w:color="000000"/>
            </w:tcBorders>
            <w:shd w:fill="auto" w:val="clear"/>
            <w:vAlign w:val="center"/>
          </w:tcPr>
          <w:p>
            <w:pPr>
              <w:pStyle w:val="LOnormal"/>
              <w:widowControl w:val="false"/>
              <w:spacing w:lineRule="auto" w:line="240"/>
              <w:jc w:val="center"/>
              <w:rPr>
                <w:b/>
                <w:b/>
                <w:color w:val="0E101A"/>
              </w:rPr>
            </w:pPr>
            <w:r>
              <w:rPr>
                <w:rFonts w:ascii="arial" w:hAnsi="arial"/>
                <w:b/>
                <w:color w:val="0E101A"/>
              </w:rPr>
              <w:t xml:space="preserve">1.8E-05 </w:t>
            </w:r>
          </w:p>
          <w:p>
            <w:pPr>
              <w:pStyle w:val="LOnormal"/>
              <w:widowControl w:val="false"/>
              <w:spacing w:lineRule="auto" w:line="240"/>
              <w:jc w:val="center"/>
              <w:rPr>
                <w:b/>
                <w:b/>
                <w:color w:val="0E101A"/>
              </w:rPr>
            </w:pPr>
            <w:r>
              <w:rPr>
                <w:rFonts w:ascii="arial" w:hAnsi="arial"/>
                <w:b/>
                <w:color w:val="0E101A"/>
              </w:rPr>
              <w:t>***</w:t>
            </w:r>
          </w:p>
        </w:tc>
      </w:tr>
      <w:tr>
        <w:trPr/>
        <w:tc>
          <w:tcPr>
            <w:tcW w:w="1983" w:type="dxa"/>
            <w:tcBorders>
              <w:top w:val="single" w:sz="8" w:space="0" w:color="000000"/>
              <w:bottom w:val="single" w:sz="8" w:space="0" w:color="000000"/>
            </w:tcBorders>
            <w:shd w:fill="auto" w:val="clear"/>
            <w:vAlign w:val="center"/>
          </w:tcPr>
          <w:p>
            <w:pPr>
              <w:pStyle w:val="LOnormal"/>
              <w:widowControl w:val="false"/>
              <w:spacing w:lineRule="auto" w:line="240"/>
              <w:jc w:val="center"/>
              <w:rPr>
                <w:b/>
                <w:b/>
                <w:i/>
                <w:i/>
                <w:color w:val="0E101A"/>
              </w:rPr>
            </w:pPr>
            <w:r>
              <w:rPr>
                <w:rFonts w:ascii="arial" w:hAnsi="arial"/>
                <w:b/>
                <w:i/>
                <w:color w:val="0E101A"/>
              </w:rPr>
              <w:t>Bacteroidetes abundance</w:t>
            </w:r>
          </w:p>
        </w:tc>
        <w:tc>
          <w:tcPr>
            <w:tcW w:w="638"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1</w:t>
            </w:r>
          </w:p>
        </w:tc>
        <w:tc>
          <w:tcPr>
            <w:tcW w:w="1399"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2.61</w:t>
            </w:r>
          </w:p>
        </w:tc>
        <w:tc>
          <w:tcPr>
            <w:tcW w:w="1204"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5.17</w:t>
            </w:r>
          </w:p>
        </w:tc>
        <w:tc>
          <w:tcPr>
            <w:tcW w:w="1328" w:type="dxa"/>
            <w:tcBorders>
              <w:top w:val="single" w:sz="8" w:space="0" w:color="000000"/>
              <w:bottom w:val="single" w:sz="8" w:space="0" w:color="000000"/>
            </w:tcBorders>
            <w:shd w:fill="auto" w:val="clear"/>
            <w:vAlign w:val="center"/>
          </w:tcPr>
          <w:p>
            <w:pPr>
              <w:pStyle w:val="LOnormal"/>
              <w:widowControl w:val="false"/>
              <w:spacing w:lineRule="auto" w:line="240"/>
              <w:jc w:val="center"/>
              <w:rPr>
                <w:b/>
                <w:b/>
                <w:color w:val="0E101A"/>
              </w:rPr>
            </w:pPr>
            <w:r>
              <w:rPr>
                <w:rFonts w:ascii="arial" w:hAnsi="arial"/>
                <w:b/>
                <w:color w:val="0E101A"/>
              </w:rPr>
              <w:t>0.023</w:t>
            </w:r>
          </w:p>
          <w:p>
            <w:pPr>
              <w:pStyle w:val="LOnormal"/>
              <w:widowControl w:val="false"/>
              <w:spacing w:lineRule="auto" w:line="240"/>
              <w:jc w:val="center"/>
              <w:rPr>
                <w:b/>
                <w:b/>
                <w:color w:val="0E101A"/>
              </w:rPr>
            </w:pPr>
            <w:r>
              <w:rPr>
                <w:rFonts w:ascii="arial" w:hAnsi="arial"/>
                <w:b/>
                <w:color w:val="0E101A"/>
              </w:rPr>
              <w:t>*</w:t>
            </w:r>
          </w:p>
        </w:tc>
        <w:tc>
          <w:tcPr>
            <w:tcW w:w="1236"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1.10</w:t>
            </w:r>
          </w:p>
        </w:tc>
        <w:tc>
          <w:tcPr>
            <w:tcW w:w="1192"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0.41</w:t>
            </w:r>
          </w:p>
        </w:tc>
        <w:tc>
          <w:tcPr>
            <w:tcW w:w="1349"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0.524</w:t>
            </w:r>
          </w:p>
        </w:tc>
        <w:tc>
          <w:tcPr>
            <w:tcW w:w="1145"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0.09</w:t>
            </w:r>
          </w:p>
        </w:tc>
        <w:tc>
          <w:tcPr>
            <w:tcW w:w="1173"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1.3</w:t>
            </w:r>
          </w:p>
        </w:tc>
        <w:tc>
          <w:tcPr>
            <w:tcW w:w="1302"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0.254</w:t>
            </w:r>
          </w:p>
        </w:tc>
      </w:tr>
      <w:tr>
        <w:trPr/>
        <w:tc>
          <w:tcPr>
            <w:tcW w:w="1983" w:type="dxa"/>
            <w:tcBorders>
              <w:top w:val="single" w:sz="8" w:space="0" w:color="000000"/>
              <w:bottom w:val="single" w:sz="8" w:space="0" w:color="000000"/>
            </w:tcBorders>
            <w:shd w:fill="auto" w:val="clear"/>
            <w:vAlign w:val="center"/>
          </w:tcPr>
          <w:p>
            <w:pPr>
              <w:pStyle w:val="LOnormal"/>
              <w:widowControl w:val="false"/>
              <w:spacing w:lineRule="auto" w:line="240"/>
              <w:jc w:val="center"/>
              <w:rPr>
                <w:b/>
                <w:b/>
                <w:i/>
                <w:i/>
                <w:color w:val="0E101A"/>
              </w:rPr>
            </w:pPr>
            <w:r>
              <w:rPr>
                <w:rFonts w:ascii="arial" w:hAnsi="arial"/>
                <w:b/>
                <w:i/>
                <w:color w:val="0E101A"/>
              </w:rPr>
              <w:t>Proteobacteria</w:t>
            </w:r>
          </w:p>
          <w:p>
            <w:pPr>
              <w:pStyle w:val="LOnormal"/>
              <w:widowControl w:val="false"/>
              <w:spacing w:lineRule="auto" w:line="240"/>
              <w:jc w:val="center"/>
              <w:rPr>
                <w:b/>
                <w:b/>
                <w:i/>
                <w:i/>
                <w:color w:val="0E101A"/>
              </w:rPr>
            </w:pPr>
            <w:r>
              <w:rPr>
                <w:rFonts w:ascii="arial" w:hAnsi="arial"/>
                <w:b/>
                <w:i/>
                <w:color w:val="0E101A"/>
              </w:rPr>
              <w:t>abundance</w:t>
            </w:r>
          </w:p>
        </w:tc>
        <w:tc>
          <w:tcPr>
            <w:tcW w:w="638"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1</w:t>
            </w:r>
          </w:p>
        </w:tc>
        <w:tc>
          <w:tcPr>
            <w:tcW w:w="1399"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10.75</w:t>
            </w:r>
          </w:p>
        </w:tc>
        <w:tc>
          <w:tcPr>
            <w:tcW w:w="1204"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50.33</w:t>
            </w:r>
          </w:p>
        </w:tc>
        <w:tc>
          <w:tcPr>
            <w:tcW w:w="1328" w:type="dxa"/>
            <w:tcBorders>
              <w:top w:val="single" w:sz="8" w:space="0" w:color="000000"/>
              <w:bottom w:val="single" w:sz="8" w:space="0" w:color="000000"/>
            </w:tcBorders>
            <w:shd w:fill="auto" w:val="clear"/>
            <w:vAlign w:val="center"/>
          </w:tcPr>
          <w:p>
            <w:pPr>
              <w:pStyle w:val="LOnormal"/>
              <w:widowControl w:val="false"/>
              <w:spacing w:lineRule="auto" w:line="240"/>
              <w:jc w:val="center"/>
              <w:rPr>
                <w:b/>
                <w:b/>
                <w:color w:val="0E101A"/>
              </w:rPr>
            </w:pPr>
            <w:r>
              <w:rPr>
                <w:rFonts w:ascii="arial" w:hAnsi="arial"/>
                <w:b/>
                <w:color w:val="0E101A"/>
              </w:rPr>
              <w:t xml:space="preserve">1.3E-12 </w:t>
            </w:r>
          </w:p>
          <w:p>
            <w:pPr>
              <w:pStyle w:val="LOnormal"/>
              <w:widowControl w:val="false"/>
              <w:spacing w:lineRule="auto" w:line="240"/>
              <w:jc w:val="center"/>
              <w:rPr>
                <w:b/>
                <w:b/>
                <w:color w:val="0E101A"/>
              </w:rPr>
            </w:pPr>
            <w:r>
              <w:rPr>
                <w:rFonts w:ascii="arial" w:hAnsi="arial"/>
                <w:b/>
                <w:color w:val="0E101A"/>
              </w:rPr>
              <w:t>***</w:t>
            </w:r>
          </w:p>
        </w:tc>
        <w:tc>
          <w:tcPr>
            <w:tcW w:w="1236"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18.74</w:t>
            </w:r>
          </w:p>
        </w:tc>
        <w:tc>
          <w:tcPr>
            <w:tcW w:w="1192"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84.7</w:t>
            </w:r>
          </w:p>
        </w:tc>
        <w:tc>
          <w:tcPr>
            <w:tcW w:w="1349" w:type="dxa"/>
            <w:tcBorders>
              <w:top w:val="single" w:sz="8" w:space="0" w:color="000000"/>
              <w:bottom w:val="single" w:sz="8" w:space="0" w:color="000000"/>
            </w:tcBorders>
            <w:shd w:fill="auto" w:val="clear"/>
            <w:vAlign w:val="center"/>
          </w:tcPr>
          <w:p>
            <w:pPr>
              <w:pStyle w:val="LOnormal"/>
              <w:widowControl w:val="false"/>
              <w:spacing w:lineRule="auto" w:line="240"/>
              <w:jc w:val="center"/>
              <w:rPr>
                <w:b/>
                <w:b/>
                <w:color w:val="0E101A"/>
              </w:rPr>
            </w:pPr>
            <w:r>
              <w:rPr>
                <w:rFonts w:ascii="arial" w:hAnsi="arial"/>
                <w:b/>
                <w:color w:val="0E101A"/>
              </w:rPr>
              <w:t>2.2E-16</w:t>
            </w:r>
          </w:p>
          <w:p>
            <w:pPr>
              <w:pStyle w:val="LOnormal"/>
              <w:widowControl w:val="false"/>
              <w:spacing w:lineRule="auto" w:line="240"/>
              <w:jc w:val="center"/>
              <w:rPr>
                <w:b/>
                <w:b/>
                <w:color w:val="0E101A"/>
              </w:rPr>
            </w:pPr>
            <w:r>
              <w:rPr>
                <w:rFonts w:ascii="arial" w:hAnsi="arial"/>
                <w:b/>
                <w:color w:val="0E101A"/>
              </w:rPr>
              <w:t>***</w:t>
            </w:r>
          </w:p>
        </w:tc>
        <w:tc>
          <w:tcPr>
            <w:tcW w:w="1145"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1.51</w:t>
            </w:r>
          </w:p>
        </w:tc>
        <w:tc>
          <w:tcPr>
            <w:tcW w:w="1173" w:type="dxa"/>
            <w:tcBorders>
              <w:top w:val="single" w:sz="8" w:space="0" w:color="000000"/>
              <w:bottom w:val="single" w:sz="8"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7.44</w:t>
            </w:r>
          </w:p>
        </w:tc>
        <w:tc>
          <w:tcPr>
            <w:tcW w:w="1302" w:type="dxa"/>
            <w:tcBorders>
              <w:top w:val="single" w:sz="8" w:space="0" w:color="000000"/>
              <w:bottom w:val="single" w:sz="8" w:space="0" w:color="000000"/>
            </w:tcBorders>
            <w:shd w:fill="auto" w:val="clear"/>
            <w:vAlign w:val="center"/>
          </w:tcPr>
          <w:p>
            <w:pPr>
              <w:pStyle w:val="LOnormal"/>
              <w:widowControl w:val="false"/>
              <w:spacing w:lineRule="auto" w:line="240"/>
              <w:jc w:val="center"/>
              <w:rPr>
                <w:b/>
                <w:b/>
                <w:color w:val="0E101A"/>
              </w:rPr>
            </w:pPr>
            <w:r>
              <w:rPr>
                <w:rFonts w:ascii="arial" w:hAnsi="arial"/>
                <w:b/>
                <w:color w:val="0E101A"/>
              </w:rPr>
              <w:t>0.007</w:t>
            </w:r>
          </w:p>
          <w:p>
            <w:pPr>
              <w:pStyle w:val="LOnormal"/>
              <w:widowControl w:val="false"/>
              <w:spacing w:lineRule="auto" w:line="240"/>
              <w:jc w:val="center"/>
              <w:rPr>
                <w:b/>
                <w:b/>
                <w:color w:val="0E101A"/>
              </w:rPr>
            </w:pPr>
            <w:r>
              <w:rPr>
                <w:rFonts w:ascii="arial" w:hAnsi="arial"/>
                <w:b/>
                <w:color w:val="0E101A"/>
              </w:rPr>
              <w:t>**</w:t>
            </w:r>
          </w:p>
        </w:tc>
      </w:tr>
      <w:tr>
        <w:trPr/>
        <w:tc>
          <w:tcPr>
            <w:tcW w:w="1983" w:type="dxa"/>
            <w:tcBorders>
              <w:top w:val="single" w:sz="8" w:space="0" w:color="000000"/>
              <w:bottom w:val="single" w:sz="12" w:space="0" w:color="000000"/>
            </w:tcBorders>
            <w:shd w:fill="auto" w:val="clear"/>
            <w:vAlign w:val="center"/>
          </w:tcPr>
          <w:p>
            <w:pPr>
              <w:pStyle w:val="LOnormal"/>
              <w:widowControl w:val="false"/>
              <w:spacing w:lineRule="auto" w:line="240"/>
              <w:jc w:val="center"/>
              <w:rPr>
                <w:b/>
                <w:b/>
                <w:i/>
                <w:i/>
                <w:color w:val="0E101A"/>
              </w:rPr>
            </w:pPr>
            <w:r>
              <w:rPr>
                <w:rFonts w:ascii="arial" w:hAnsi="arial"/>
                <w:b/>
                <w:i/>
                <w:color w:val="0E101A"/>
              </w:rPr>
              <w:t>Residuals</w:t>
            </w:r>
          </w:p>
        </w:tc>
        <w:tc>
          <w:tcPr>
            <w:tcW w:w="638" w:type="dxa"/>
            <w:tcBorders>
              <w:top w:val="single" w:sz="8" w:space="0" w:color="000000"/>
              <w:bottom w:val="single" w:sz="12" w:space="0" w:color="000000"/>
            </w:tcBorders>
            <w:shd w:fill="auto" w:val="clear"/>
            <w:vAlign w:val="center"/>
          </w:tcPr>
          <w:p>
            <w:pPr>
              <w:pStyle w:val="LOnormal"/>
              <w:widowControl w:val="false"/>
              <w:spacing w:lineRule="auto" w:line="240"/>
              <w:jc w:val="center"/>
              <w:rPr>
                <w:color w:val="0E101A"/>
              </w:rPr>
            </w:pPr>
            <w:r>
              <w:rPr>
                <w:color w:val="0E101A"/>
              </w:rPr>
            </w:r>
          </w:p>
        </w:tc>
        <w:tc>
          <w:tcPr>
            <w:tcW w:w="1399" w:type="dxa"/>
            <w:tcBorders>
              <w:top w:val="single" w:sz="8" w:space="0" w:color="000000"/>
              <w:bottom w:val="single" w:sz="12"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9.95</w:t>
            </w:r>
          </w:p>
        </w:tc>
        <w:tc>
          <w:tcPr>
            <w:tcW w:w="1204" w:type="dxa"/>
            <w:tcBorders>
              <w:top w:val="single" w:sz="8" w:space="0" w:color="000000"/>
              <w:bottom w:val="single" w:sz="12" w:space="0" w:color="000000"/>
            </w:tcBorders>
            <w:shd w:fill="auto" w:val="clear"/>
            <w:vAlign w:val="center"/>
          </w:tcPr>
          <w:p>
            <w:pPr>
              <w:pStyle w:val="LOnormal"/>
              <w:widowControl w:val="false"/>
              <w:spacing w:lineRule="auto" w:line="240"/>
              <w:jc w:val="center"/>
              <w:rPr>
                <w:color w:val="0E101A"/>
              </w:rPr>
            </w:pPr>
            <w:r>
              <w:rPr>
                <w:color w:val="0E101A"/>
              </w:rPr>
            </w:r>
          </w:p>
        </w:tc>
        <w:tc>
          <w:tcPr>
            <w:tcW w:w="1328" w:type="dxa"/>
            <w:tcBorders>
              <w:top w:val="single" w:sz="8" w:space="0" w:color="000000"/>
              <w:bottom w:val="single" w:sz="12" w:space="0" w:color="000000"/>
            </w:tcBorders>
            <w:shd w:fill="auto" w:val="clear"/>
            <w:vAlign w:val="center"/>
          </w:tcPr>
          <w:p>
            <w:pPr>
              <w:pStyle w:val="LOnormal"/>
              <w:widowControl w:val="false"/>
              <w:spacing w:lineRule="auto" w:line="240"/>
              <w:jc w:val="center"/>
              <w:rPr>
                <w:color w:val="0E101A"/>
              </w:rPr>
            </w:pPr>
            <w:r>
              <w:rPr>
                <w:color w:val="0E101A"/>
              </w:rPr>
            </w:r>
          </w:p>
        </w:tc>
        <w:tc>
          <w:tcPr>
            <w:tcW w:w="1236" w:type="dxa"/>
            <w:tcBorders>
              <w:top w:val="single" w:sz="8" w:space="0" w:color="000000"/>
              <w:bottom w:val="single" w:sz="12"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8.92</w:t>
            </w:r>
          </w:p>
        </w:tc>
        <w:tc>
          <w:tcPr>
            <w:tcW w:w="1192" w:type="dxa"/>
            <w:tcBorders>
              <w:top w:val="single" w:sz="8" w:space="0" w:color="000000"/>
              <w:bottom w:val="single" w:sz="12" w:space="0" w:color="000000"/>
            </w:tcBorders>
            <w:shd w:fill="auto" w:val="clear"/>
            <w:vAlign w:val="center"/>
          </w:tcPr>
          <w:p>
            <w:pPr>
              <w:pStyle w:val="LOnormal"/>
              <w:widowControl w:val="false"/>
              <w:spacing w:lineRule="auto" w:line="240"/>
              <w:jc w:val="center"/>
              <w:rPr>
                <w:color w:val="0E101A"/>
              </w:rPr>
            </w:pPr>
            <w:r>
              <w:rPr>
                <w:color w:val="0E101A"/>
              </w:rPr>
            </w:r>
          </w:p>
        </w:tc>
        <w:tc>
          <w:tcPr>
            <w:tcW w:w="1349" w:type="dxa"/>
            <w:tcBorders>
              <w:top w:val="single" w:sz="8" w:space="0" w:color="000000"/>
              <w:bottom w:val="single" w:sz="12" w:space="0" w:color="000000"/>
            </w:tcBorders>
            <w:shd w:fill="auto" w:val="clear"/>
            <w:vAlign w:val="center"/>
          </w:tcPr>
          <w:p>
            <w:pPr>
              <w:pStyle w:val="LOnormal"/>
              <w:widowControl w:val="false"/>
              <w:spacing w:lineRule="auto" w:line="240"/>
              <w:jc w:val="center"/>
              <w:rPr>
                <w:color w:val="0E101A"/>
              </w:rPr>
            </w:pPr>
            <w:r>
              <w:rPr>
                <w:color w:val="0E101A"/>
              </w:rPr>
            </w:r>
          </w:p>
        </w:tc>
        <w:tc>
          <w:tcPr>
            <w:tcW w:w="1145" w:type="dxa"/>
            <w:tcBorders>
              <w:top w:val="single" w:sz="8" w:space="0" w:color="000000"/>
              <w:bottom w:val="single" w:sz="12" w:space="0" w:color="000000"/>
            </w:tcBorders>
            <w:shd w:fill="auto" w:val="clear"/>
            <w:vAlign w:val="center"/>
          </w:tcPr>
          <w:p>
            <w:pPr>
              <w:pStyle w:val="LOnormal"/>
              <w:widowControl w:val="false"/>
              <w:spacing w:lineRule="auto" w:line="240"/>
              <w:jc w:val="center"/>
              <w:rPr>
                <w:color w:val="0E101A"/>
              </w:rPr>
            </w:pPr>
            <w:r>
              <w:rPr>
                <w:rFonts w:ascii="arial" w:hAnsi="arial"/>
                <w:color w:val="0E101A"/>
              </w:rPr>
              <w:t>31.01</w:t>
            </w:r>
          </w:p>
        </w:tc>
        <w:tc>
          <w:tcPr>
            <w:tcW w:w="1173" w:type="dxa"/>
            <w:tcBorders>
              <w:top w:val="single" w:sz="8" w:space="0" w:color="000000"/>
              <w:bottom w:val="single" w:sz="12" w:space="0" w:color="000000"/>
            </w:tcBorders>
            <w:shd w:fill="auto" w:val="clear"/>
            <w:vAlign w:val="center"/>
          </w:tcPr>
          <w:p>
            <w:pPr>
              <w:pStyle w:val="LOnormal"/>
              <w:widowControl w:val="false"/>
              <w:spacing w:lineRule="auto" w:line="240"/>
              <w:jc w:val="center"/>
              <w:rPr>
                <w:color w:val="0E101A"/>
              </w:rPr>
            </w:pPr>
            <w:r>
              <w:rPr>
                <w:color w:val="0E101A"/>
              </w:rPr>
            </w:r>
          </w:p>
        </w:tc>
        <w:tc>
          <w:tcPr>
            <w:tcW w:w="1302" w:type="dxa"/>
            <w:tcBorders>
              <w:top w:val="single" w:sz="8" w:space="0" w:color="000000"/>
              <w:bottom w:val="single" w:sz="12" w:space="0" w:color="000000"/>
            </w:tcBorders>
            <w:shd w:fill="auto" w:val="clear"/>
            <w:vAlign w:val="center"/>
          </w:tcPr>
          <w:p>
            <w:pPr>
              <w:pStyle w:val="LOnormal"/>
              <w:widowControl w:val="false"/>
              <w:spacing w:lineRule="auto" w:line="240"/>
              <w:jc w:val="center"/>
              <w:rPr>
                <w:color w:val="0E101A"/>
              </w:rPr>
            </w:pPr>
            <w:r>
              <w:rPr>
                <w:color w:val="0E101A"/>
              </w:rPr>
            </w:r>
          </w:p>
        </w:tc>
      </w:tr>
    </w:tbl>
    <w:p>
      <w:pPr>
        <w:sectPr>
          <w:type w:val="nextPage"/>
          <w:pgSz w:orient="landscape" w:w="16838" w:h="11906"/>
          <w:pgMar w:left="1440" w:right="1440" w:header="0" w:top="1440" w:footer="0" w:bottom="1440" w:gutter="0"/>
          <w:pgNumType w:fmt="decimal"/>
          <w:formProt w:val="false"/>
          <w:textDirection w:val="lrTb"/>
          <w:docGrid w:type="default" w:linePitch="100" w:charSpace="0"/>
        </w:sectPr>
      </w:pPr>
    </w:p>
    <w:p>
      <w:pPr>
        <w:pStyle w:val="LOnormal"/>
        <w:shd w:val="clear" w:fill="FFFFFF"/>
        <w:spacing w:lineRule="auto" w:line="276"/>
        <w:jc w:val="both"/>
        <w:rPr>
          <w:b/>
          <w:b/>
        </w:rPr>
      </w:pPr>
      <w:r>
        <w:rPr>
          <w:rFonts w:ascii="arial" w:hAnsi="arial"/>
          <w:b/>
        </w:rPr>
        <w:t xml:space="preserve">Supplement </w:t>
      </w:r>
      <w:r>
        <w:rPr>
          <w:rFonts w:eastAsia="Noto Serif CJK SC" w:cs="Lohit Devanagari" w:ascii="arial" w:hAnsi="arial"/>
          <w:b/>
          <w:color w:val="auto"/>
          <w:kern w:val="2"/>
          <w:sz w:val="24"/>
          <w:szCs w:val="24"/>
          <w:lang w:val="en-US" w:eastAsia="zh-CN" w:bidi="hi-IN"/>
        </w:rPr>
        <w:t>6</w:t>
      </w:r>
      <w:r>
        <w:rPr>
          <w:rFonts w:ascii="arial" w:hAnsi="arial"/>
          <w:b/>
        </w:rPr>
        <w:t>. Permutational analysis of variance (PERMANOVA) for predicted ARG composition in the microbiome from natural populations of house mice (</w:t>
      </w:r>
      <w:r>
        <w:rPr>
          <w:rFonts w:ascii="arial" w:hAnsi="arial"/>
          <w:b/>
          <w:i/>
        </w:rPr>
        <w:t>Mus musculus</w:t>
      </w:r>
      <w:r>
        <w:rPr>
          <w:rFonts w:ascii="arial" w:hAnsi="arial"/>
          <w:b/>
        </w:rPr>
        <w:t xml:space="preserve">)  </w:t>
      </w:r>
      <w:r>
        <w:rPr>
          <w:rFonts w:ascii="arial" w:hAnsi="arial"/>
        </w:rPr>
        <w:t xml:space="preserve"> </w:t>
        <w:tab/>
        <w:t xml:space="preserve"> </w:t>
        <w:tab/>
        <w:t xml:space="preserve"> </w:t>
        <w:tab/>
        <w:t xml:space="preserve"> </w:t>
        <w:tab/>
        <w:t xml:space="preserve"> </w:t>
        <w:tab/>
      </w:r>
    </w:p>
    <w:tbl>
      <w:tblPr>
        <w:tblStyle w:val="Table4"/>
        <w:tblW w:w="8715" w:type="dxa"/>
        <w:jc w:val="center"/>
        <w:tblInd w:w="0" w:type="dxa"/>
        <w:tblCellMar>
          <w:top w:w="5" w:type="dxa"/>
          <w:left w:w="15" w:type="dxa"/>
          <w:bottom w:w="5" w:type="dxa"/>
          <w:right w:w="15" w:type="dxa"/>
        </w:tblCellMar>
        <w:tblLook w:val="0600"/>
      </w:tblPr>
      <w:tblGrid>
        <w:gridCol w:w="1830"/>
        <w:gridCol w:w="1350"/>
        <w:gridCol w:w="1470"/>
        <w:gridCol w:w="1336"/>
        <w:gridCol w:w="1243"/>
        <w:gridCol w:w="1485"/>
      </w:tblGrid>
      <w:tr>
        <w:trPr>
          <w:trHeight w:val="680" w:hRule="atLeast"/>
        </w:trPr>
        <w:tc>
          <w:tcPr>
            <w:tcW w:w="1830"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b/>
                <w:b/>
              </w:rPr>
            </w:pPr>
            <w:r>
              <w:rPr>
                <w:b/>
              </w:rPr>
            </w:r>
          </w:p>
        </w:tc>
        <w:tc>
          <w:tcPr>
            <w:tcW w:w="1350"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b/>
                <w:b/>
              </w:rPr>
            </w:pPr>
            <w:r>
              <w:rPr>
                <w:rFonts w:ascii="arial" w:hAnsi="arial"/>
                <w:b/>
              </w:rPr>
              <w:t>Df</w:t>
            </w:r>
          </w:p>
        </w:tc>
        <w:tc>
          <w:tcPr>
            <w:tcW w:w="1470"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b/>
                <w:b/>
              </w:rPr>
            </w:pPr>
            <w:r>
              <w:rPr>
                <w:rFonts w:ascii="arial" w:hAnsi="arial"/>
                <w:b/>
              </w:rPr>
              <w:t>Sums Of Sqs</w:t>
            </w:r>
          </w:p>
        </w:tc>
        <w:tc>
          <w:tcPr>
            <w:tcW w:w="1336"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b/>
                <w:b/>
              </w:rPr>
            </w:pPr>
            <w:r>
              <w:rPr>
                <w:rFonts w:ascii="arial" w:hAnsi="arial"/>
                <w:b/>
                <w:i/>
              </w:rPr>
              <w:t>F</w:t>
            </w:r>
            <w:r>
              <w:rPr>
                <w:rFonts w:ascii="arial" w:hAnsi="arial"/>
                <w:b/>
              </w:rPr>
              <w:t>-Model</w:t>
            </w:r>
          </w:p>
        </w:tc>
        <w:tc>
          <w:tcPr>
            <w:tcW w:w="1243"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b/>
                <w:b/>
                <w:vertAlign w:val="superscript"/>
              </w:rPr>
            </w:pPr>
            <w:r>
              <w:rPr>
                <w:rFonts w:ascii="arial" w:hAnsi="arial"/>
                <w:b/>
              </w:rPr>
              <w:t>R</w:t>
            </w:r>
            <w:r>
              <w:rPr>
                <w:rFonts w:ascii="arial" w:hAnsi="arial"/>
                <w:b/>
                <w:vertAlign w:val="superscript"/>
              </w:rPr>
              <w:t>2</w:t>
            </w:r>
          </w:p>
        </w:tc>
        <w:tc>
          <w:tcPr>
            <w:tcW w:w="1485"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b/>
                <w:b/>
              </w:rPr>
            </w:pPr>
            <w:r>
              <w:rPr>
                <w:rFonts w:ascii="arial" w:hAnsi="arial"/>
                <w:b/>
              </w:rPr>
              <w:t>Pr(&gt;</w:t>
            </w:r>
            <w:r>
              <w:rPr>
                <w:rFonts w:ascii="arial" w:hAnsi="arial"/>
                <w:b/>
                <w:i/>
              </w:rPr>
              <w:t>F</w:t>
            </w:r>
            <w:r>
              <w:rPr>
                <w:rFonts w:ascii="arial" w:hAnsi="arial"/>
                <w:b/>
              </w:rPr>
              <w:t>)</w:t>
            </w:r>
          </w:p>
        </w:tc>
      </w:tr>
      <w:tr>
        <w:trPr>
          <w:trHeight w:val="791" w:hRule="atLeast"/>
        </w:trPr>
        <w:tc>
          <w:tcPr>
            <w:tcW w:w="1830" w:type="dxa"/>
            <w:tcBorders>
              <w:top w:val="single" w:sz="12" w:space="0" w:color="000000"/>
            </w:tcBorders>
            <w:vAlign w:val="center"/>
          </w:tcPr>
          <w:p>
            <w:pPr>
              <w:pStyle w:val="LOnormal"/>
              <w:widowControl w:val="false"/>
              <w:rPr>
                <w:i/>
                <w:i/>
              </w:rPr>
            </w:pPr>
            <w:r>
              <w:rPr>
                <w:rFonts w:ascii="arial" w:hAnsi="arial"/>
                <w:i/>
              </w:rPr>
              <w:t>Locality</w:t>
            </w:r>
          </w:p>
        </w:tc>
        <w:tc>
          <w:tcPr>
            <w:tcW w:w="1350" w:type="dxa"/>
            <w:tcBorders>
              <w:top w:val="single" w:sz="12" w:space="0" w:color="000000"/>
            </w:tcBorders>
            <w:vAlign w:val="center"/>
          </w:tcPr>
          <w:p>
            <w:pPr>
              <w:pStyle w:val="LOnormal"/>
              <w:widowControl w:val="false"/>
              <w:jc w:val="center"/>
              <w:rPr>
                <w:b/>
                <w:b/>
              </w:rPr>
            </w:pPr>
            <w:r>
              <w:rPr>
                <w:rFonts w:ascii="arial" w:hAnsi="arial"/>
              </w:rPr>
              <w:t>158</w:t>
            </w:r>
          </w:p>
        </w:tc>
        <w:tc>
          <w:tcPr>
            <w:tcW w:w="1470" w:type="dxa"/>
            <w:tcBorders>
              <w:top w:val="single" w:sz="12" w:space="0" w:color="000000"/>
            </w:tcBorders>
            <w:vAlign w:val="center"/>
          </w:tcPr>
          <w:p>
            <w:pPr>
              <w:pStyle w:val="LOnormal"/>
              <w:widowControl w:val="false"/>
              <w:jc w:val="center"/>
              <w:rPr>
                <w:b/>
                <w:b/>
              </w:rPr>
            </w:pPr>
            <w:r>
              <w:rPr>
                <w:rFonts w:ascii="arial" w:hAnsi="arial"/>
                <w:color w:val="0E101A"/>
              </w:rPr>
              <w:t>23.140</w:t>
            </w:r>
          </w:p>
        </w:tc>
        <w:tc>
          <w:tcPr>
            <w:tcW w:w="1336" w:type="dxa"/>
            <w:tcBorders>
              <w:top w:val="single" w:sz="12" w:space="0" w:color="000000"/>
            </w:tcBorders>
            <w:vAlign w:val="center"/>
          </w:tcPr>
          <w:p>
            <w:pPr>
              <w:pStyle w:val="LOnormal"/>
              <w:shd w:val="clear" w:fill="FFFFFF"/>
              <w:spacing w:lineRule="auto" w:line="276"/>
              <w:jc w:val="center"/>
              <w:rPr>
                <w:b/>
                <w:b/>
              </w:rPr>
            </w:pPr>
            <w:r>
              <w:rPr>
                <w:rFonts w:ascii="arial" w:hAnsi="arial"/>
                <w:color w:val="0E101A"/>
              </w:rPr>
              <w:t>1.020</w:t>
            </w:r>
          </w:p>
        </w:tc>
        <w:tc>
          <w:tcPr>
            <w:tcW w:w="1243" w:type="dxa"/>
            <w:tcBorders>
              <w:top w:val="single" w:sz="12" w:space="0" w:color="000000"/>
            </w:tcBorders>
            <w:vAlign w:val="center"/>
          </w:tcPr>
          <w:p>
            <w:pPr>
              <w:pStyle w:val="LOnormal"/>
              <w:widowControl w:val="false"/>
              <w:jc w:val="center"/>
              <w:rPr>
                <w:b/>
                <w:b/>
              </w:rPr>
            </w:pPr>
            <w:r>
              <w:rPr>
                <w:rFonts w:ascii="arial" w:hAnsi="arial"/>
                <w:color w:val="0E101A"/>
              </w:rPr>
              <w:t>0.325</w:t>
            </w:r>
          </w:p>
        </w:tc>
        <w:tc>
          <w:tcPr>
            <w:tcW w:w="1485" w:type="dxa"/>
            <w:tcBorders>
              <w:top w:val="single" w:sz="12" w:space="0" w:color="000000"/>
            </w:tcBorders>
            <w:vAlign w:val="center"/>
          </w:tcPr>
          <w:p>
            <w:pPr>
              <w:pStyle w:val="LOnormal"/>
              <w:widowControl w:val="false"/>
              <w:jc w:val="center"/>
              <w:rPr>
                <w:b/>
                <w:b/>
              </w:rPr>
            </w:pPr>
            <w:r>
              <w:rPr>
                <w:rFonts w:ascii="arial" w:hAnsi="arial"/>
                <w:color w:val="0E101A"/>
              </w:rPr>
              <w:t xml:space="preserve"> </w:t>
            </w:r>
            <w:r>
              <w:rPr>
                <w:rFonts w:ascii="arial" w:hAnsi="arial"/>
                <w:color w:val="0E101A"/>
              </w:rPr>
              <w:t>0.057</w:t>
            </w:r>
          </w:p>
        </w:tc>
      </w:tr>
      <w:tr>
        <w:trPr>
          <w:trHeight w:val="791" w:hRule="atLeast"/>
        </w:trPr>
        <w:tc>
          <w:tcPr>
            <w:tcW w:w="1830" w:type="dxa"/>
            <w:tcBorders/>
            <w:vAlign w:val="center"/>
          </w:tcPr>
          <w:p>
            <w:pPr>
              <w:pStyle w:val="LOnormal"/>
              <w:widowControl w:val="false"/>
              <w:rPr>
                <w:i/>
                <w:i/>
              </w:rPr>
            </w:pPr>
            <w:r>
              <w:rPr>
                <w:rFonts w:ascii="arial" w:hAnsi="arial"/>
                <w:i/>
              </w:rPr>
              <w:t>Year of collection</w:t>
            </w:r>
          </w:p>
        </w:tc>
        <w:tc>
          <w:tcPr>
            <w:tcW w:w="1350" w:type="dxa"/>
            <w:tcBorders/>
            <w:vAlign w:val="center"/>
          </w:tcPr>
          <w:p>
            <w:pPr>
              <w:pStyle w:val="LOnormal"/>
              <w:widowControl w:val="false"/>
              <w:jc w:val="center"/>
              <w:rPr>
                <w:b/>
                <w:b/>
              </w:rPr>
            </w:pPr>
            <w:r>
              <w:rPr>
                <w:rFonts w:ascii="arial" w:hAnsi="arial"/>
              </w:rPr>
              <w:t>3</w:t>
            </w:r>
          </w:p>
        </w:tc>
        <w:tc>
          <w:tcPr>
            <w:tcW w:w="1470" w:type="dxa"/>
            <w:tcBorders/>
            <w:vAlign w:val="center"/>
          </w:tcPr>
          <w:p>
            <w:pPr>
              <w:pStyle w:val="LOnormal"/>
              <w:widowControl w:val="false"/>
              <w:jc w:val="center"/>
              <w:rPr>
                <w:b/>
                <w:b/>
              </w:rPr>
            </w:pPr>
            <w:r>
              <w:rPr>
                <w:rFonts w:ascii="arial" w:hAnsi="arial"/>
                <w:color w:val="0E101A"/>
              </w:rPr>
              <w:t>0.214</w:t>
            </w:r>
          </w:p>
        </w:tc>
        <w:tc>
          <w:tcPr>
            <w:tcW w:w="1336" w:type="dxa"/>
            <w:tcBorders/>
            <w:vAlign w:val="center"/>
          </w:tcPr>
          <w:p>
            <w:pPr>
              <w:pStyle w:val="LOnormal"/>
              <w:shd w:val="clear" w:fill="FFFFFF"/>
              <w:spacing w:lineRule="auto" w:line="276"/>
              <w:jc w:val="center"/>
              <w:rPr>
                <w:b/>
                <w:b/>
              </w:rPr>
            </w:pPr>
            <w:r>
              <w:rPr>
                <w:rFonts w:ascii="arial" w:hAnsi="arial"/>
                <w:color w:val="0E101A"/>
              </w:rPr>
              <w:t>0.749</w:t>
            </w:r>
          </w:p>
        </w:tc>
        <w:tc>
          <w:tcPr>
            <w:tcW w:w="1243" w:type="dxa"/>
            <w:tcBorders/>
            <w:vAlign w:val="center"/>
          </w:tcPr>
          <w:p>
            <w:pPr>
              <w:pStyle w:val="LOnormal"/>
              <w:widowControl w:val="false"/>
              <w:jc w:val="center"/>
              <w:rPr>
                <w:b/>
                <w:b/>
              </w:rPr>
            </w:pPr>
            <w:r>
              <w:rPr>
                <w:rFonts w:ascii="arial" w:hAnsi="arial"/>
                <w:color w:val="0E101A"/>
              </w:rPr>
              <w:t>0.003</w:t>
            </w:r>
          </w:p>
        </w:tc>
        <w:tc>
          <w:tcPr>
            <w:tcW w:w="1485" w:type="dxa"/>
            <w:tcBorders/>
            <w:vAlign w:val="center"/>
          </w:tcPr>
          <w:p>
            <w:pPr>
              <w:pStyle w:val="LOnormal"/>
              <w:widowControl w:val="false"/>
              <w:jc w:val="center"/>
              <w:rPr>
                <w:b/>
                <w:b/>
              </w:rPr>
            </w:pPr>
            <w:r>
              <w:rPr>
                <w:rFonts w:ascii="arial" w:hAnsi="arial"/>
                <w:color w:val="0E101A"/>
              </w:rPr>
              <w:t>0.576</w:t>
            </w:r>
          </w:p>
        </w:tc>
      </w:tr>
      <w:tr>
        <w:trPr>
          <w:trHeight w:val="791" w:hRule="atLeast"/>
        </w:trPr>
        <w:tc>
          <w:tcPr>
            <w:tcW w:w="1830" w:type="dxa"/>
            <w:tcBorders>
              <w:bottom w:val="single" w:sz="12" w:space="0" w:color="000000"/>
            </w:tcBorders>
            <w:vAlign w:val="center"/>
          </w:tcPr>
          <w:p>
            <w:pPr>
              <w:pStyle w:val="LOnormal"/>
              <w:widowControl w:val="false"/>
              <w:rPr>
                <w:i/>
                <w:i/>
              </w:rPr>
            </w:pPr>
            <w:r>
              <w:rPr>
                <w:rFonts w:ascii="arial" w:hAnsi="arial"/>
                <w:i/>
              </w:rPr>
              <w:t>Hybridicity</w:t>
            </w:r>
          </w:p>
        </w:tc>
        <w:tc>
          <w:tcPr>
            <w:tcW w:w="1350" w:type="dxa"/>
            <w:tcBorders>
              <w:bottom w:val="single" w:sz="12" w:space="0" w:color="000000"/>
            </w:tcBorders>
            <w:vAlign w:val="center"/>
          </w:tcPr>
          <w:p>
            <w:pPr>
              <w:pStyle w:val="LOnormal"/>
              <w:widowControl w:val="false"/>
              <w:jc w:val="center"/>
              <w:rPr>
                <w:b/>
                <w:b/>
              </w:rPr>
            </w:pPr>
            <w:r>
              <w:rPr>
                <w:rFonts w:ascii="arial" w:hAnsi="arial"/>
              </w:rPr>
              <w:t>1</w:t>
            </w:r>
          </w:p>
        </w:tc>
        <w:tc>
          <w:tcPr>
            <w:tcW w:w="1470" w:type="dxa"/>
            <w:tcBorders>
              <w:bottom w:val="single" w:sz="12" w:space="0" w:color="000000"/>
            </w:tcBorders>
            <w:vAlign w:val="center"/>
          </w:tcPr>
          <w:p>
            <w:pPr>
              <w:pStyle w:val="LOnormal"/>
              <w:shd w:val="clear" w:fill="FFFFFF"/>
              <w:spacing w:lineRule="auto" w:line="276"/>
              <w:jc w:val="center"/>
              <w:rPr>
                <w:b/>
                <w:b/>
              </w:rPr>
            </w:pPr>
            <w:r>
              <w:rPr>
                <w:rFonts w:ascii="arial" w:hAnsi="arial"/>
                <w:color w:val="0E101A"/>
              </w:rPr>
              <w:t>0.580</w:t>
            </w:r>
          </w:p>
        </w:tc>
        <w:tc>
          <w:tcPr>
            <w:tcW w:w="1336" w:type="dxa"/>
            <w:tcBorders>
              <w:bottom w:val="single" w:sz="12" w:space="0" w:color="000000"/>
            </w:tcBorders>
            <w:vAlign w:val="center"/>
          </w:tcPr>
          <w:p>
            <w:pPr>
              <w:pStyle w:val="LOnormal"/>
              <w:shd w:val="clear" w:fill="FFFFFF"/>
              <w:spacing w:lineRule="auto" w:line="276"/>
              <w:jc w:val="center"/>
              <w:rPr>
                <w:b/>
                <w:b/>
              </w:rPr>
            </w:pPr>
            <w:r>
              <w:rPr>
                <w:rFonts w:ascii="arial" w:hAnsi="arial"/>
                <w:color w:val="0E101A"/>
              </w:rPr>
              <w:t>4.064</w:t>
            </w:r>
          </w:p>
        </w:tc>
        <w:tc>
          <w:tcPr>
            <w:tcW w:w="1243" w:type="dxa"/>
            <w:tcBorders>
              <w:bottom w:val="single" w:sz="12" w:space="0" w:color="000000"/>
            </w:tcBorders>
            <w:vAlign w:val="center"/>
          </w:tcPr>
          <w:p>
            <w:pPr>
              <w:pStyle w:val="LOnormal"/>
              <w:shd w:val="clear" w:fill="FFFFFF"/>
              <w:spacing w:lineRule="auto" w:line="276"/>
              <w:jc w:val="center"/>
              <w:rPr>
                <w:b/>
                <w:b/>
              </w:rPr>
            </w:pPr>
            <w:r>
              <w:rPr>
                <w:rFonts w:ascii="arial" w:hAnsi="arial"/>
                <w:color w:val="0E101A"/>
              </w:rPr>
              <w:t>0.008</w:t>
            </w:r>
          </w:p>
        </w:tc>
        <w:tc>
          <w:tcPr>
            <w:tcW w:w="1485" w:type="dxa"/>
            <w:tcBorders>
              <w:bottom w:val="single" w:sz="12" w:space="0" w:color="000000"/>
            </w:tcBorders>
            <w:vAlign w:val="center"/>
          </w:tcPr>
          <w:p>
            <w:pPr>
              <w:pStyle w:val="LOnormal"/>
              <w:widowControl w:val="false"/>
              <w:jc w:val="center"/>
              <w:rPr>
                <w:b/>
                <w:b/>
              </w:rPr>
            </w:pPr>
            <w:r>
              <w:rPr>
                <w:rFonts w:ascii="arial" w:hAnsi="arial"/>
                <w:b/>
                <w:color w:val="0E101A"/>
              </w:rPr>
              <w:t>0.012*</w:t>
            </w:r>
          </w:p>
        </w:tc>
      </w:tr>
      <w:tr>
        <w:trPr>
          <w:trHeight w:val="566" w:hRule="atLeast"/>
        </w:trPr>
        <w:tc>
          <w:tcPr>
            <w:tcW w:w="1830"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b/>
                <w:b/>
              </w:rPr>
            </w:pPr>
            <w:r>
              <w:rPr>
                <w:rFonts w:ascii="arial" w:hAnsi="arial"/>
                <w:b/>
              </w:rPr>
              <w:t>Residuals</w:t>
            </w:r>
          </w:p>
        </w:tc>
        <w:tc>
          <w:tcPr>
            <w:tcW w:w="1350"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b/>
                <w:b/>
              </w:rPr>
            </w:pPr>
            <w:r>
              <w:rPr>
                <w:rFonts w:ascii="arial" w:hAnsi="arial"/>
              </w:rPr>
              <w:t>329</w:t>
            </w:r>
          </w:p>
        </w:tc>
        <w:tc>
          <w:tcPr>
            <w:tcW w:w="1470" w:type="dxa"/>
            <w:tcBorders>
              <w:top w:val="single" w:sz="12" w:space="0" w:color="000000"/>
              <w:left w:val="single" w:sz="12" w:space="0" w:color="FFFFFF"/>
              <w:bottom w:val="single" w:sz="12" w:space="0" w:color="000000"/>
              <w:right w:val="single" w:sz="12" w:space="0" w:color="FFFFFF"/>
            </w:tcBorders>
            <w:vAlign w:val="center"/>
          </w:tcPr>
          <w:p>
            <w:pPr>
              <w:pStyle w:val="LOnormal"/>
              <w:shd w:val="clear" w:fill="FFFFFF"/>
              <w:spacing w:lineRule="auto" w:line="276"/>
              <w:jc w:val="center"/>
              <w:rPr>
                <w:b/>
                <w:b/>
              </w:rPr>
            </w:pPr>
            <w:r>
              <w:rPr>
                <w:rFonts w:ascii="arial" w:hAnsi="arial"/>
                <w:color w:val="0E101A"/>
              </w:rPr>
              <w:t>46.931</w:t>
            </w:r>
          </w:p>
        </w:tc>
        <w:tc>
          <w:tcPr>
            <w:tcW w:w="1336"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b/>
                <w:b/>
              </w:rPr>
            </w:pPr>
            <w:r>
              <w:rPr>
                <w:rFonts w:ascii="arial" w:hAnsi="arial"/>
              </w:rPr>
              <w:t>-</w:t>
            </w:r>
          </w:p>
        </w:tc>
        <w:tc>
          <w:tcPr>
            <w:tcW w:w="1243" w:type="dxa"/>
            <w:tcBorders>
              <w:top w:val="single" w:sz="12" w:space="0" w:color="000000"/>
              <w:left w:val="single" w:sz="12" w:space="0" w:color="FFFFFF"/>
              <w:bottom w:val="single" w:sz="12" w:space="0" w:color="000000"/>
              <w:right w:val="single" w:sz="12" w:space="0" w:color="FFFFFF"/>
            </w:tcBorders>
            <w:vAlign w:val="center"/>
          </w:tcPr>
          <w:p>
            <w:pPr>
              <w:pStyle w:val="LOnormal"/>
              <w:shd w:val="clear" w:fill="FFFFFF"/>
              <w:spacing w:lineRule="auto" w:line="276"/>
              <w:jc w:val="center"/>
              <w:rPr>
                <w:b/>
                <w:b/>
              </w:rPr>
            </w:pPr>
            <w:r>
              <w:rPr>
                <w:rFonts w:ascii="arial" w:hAnsi="arial"/>
              </w:rPr>
              <w:t xml:space="preserve"> </w:t>
            </w:r>
            <w:r>
              <w:rPr>
                <w:rFonts w:ascii="arial" w:hAnsi="arial"/>
                <w:color w:val="0E101A"/>
              </w:rPr>
              <w:t>0.660</w:t>
            </w:r>
          </w:p>
        </w:tc>
        <w:tc>
          <w:tcPr>
            <w:tcW w:w="1485"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b/>
                <w:b/>
              </w:rPr>
            </w:pPr>
            <w:r>
              <w:rPr>
                <w:rFonts w:ascii="arial" w:hAnsi="arial"/>
              </w:rPr>
              <w:t>-</w:t>
            </w:r>
          </w:p>
        </w:tc>
      </w:tr>
      <w:tr>
        <w:trPr>
          <w:trHeight w:val="566" w:hRule="atLeast"/>
        </w:trPr>
        <w:tc>
          <w:tcPr>
            <w:tcW w:w="1830"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b/>
                <w:b/>
              </w:rPr>
            </w:pPr>
            <w:r>
              <w:rPr>
                <w:rFonts w:ascii="arial" w:hAnsi="arial"/>
                <w:b/>
              </w:rPr>
              <w:t>Total</w:t>
            </w:r>
          </w:p>
        </w:tc>
        <w:tc>
          <w:tcPr>
            <w:tcW w:w="1350"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b/>
                <w:b/>
              </w:rPr>
            </w:pPr>
            <w:r>
              <w:rPr>
                <w:rFonts w:ascii="arial" w:hAnsi="arial"/>
              </w:rPr>
              <w:t>492</w:t>
            </w:r>
          </w:p>
        </w:tc>
        <w:tc>
          <w:tcPr>
            <w:tcW w:w="1470"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b/>
                <w:b/>
              </w:rPr>
            </w:pPr>
            <w:r>
              <w:rPr>
                <w:rFonts w:ascii="arial" w:hAnsi="arial"/>
                <w:color w:val="0E101A"/>
              </w:rPr>
              <w:t>71.107</w:t>
            </w:r>
          </w:p>
        </w:tc>
        <w:tc>
          <w:tcPr>
            <w:tcW w:w="1336"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b/>
                <w:b/>
              </w:rPr>
            </w:pPr>
            <w:r>
              <w:rPr>
                <w:rFonts w:ascii="arial" w:hAnsi="arial"/>
              </w:rPr>
              <w:t>-</w:t>
            </w:r>
          </w:p>
        </w:tc>
        <w:tc>
          <w:tcPr>
            <w:tcW w:w="1243"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b/>
                <w:b/>
              </w:rPr>
            </w:pPr>
            <w:r>
              <w:rPr>
                <w:rFonts w:ascii="arial" w:hAnsi="arial"/>
              </w:rPr>
              <w:t>1.0000</w:t>
            </w:r>
          </w:p>
        </w:tc>
        <w:tc>
          <w:tcPr>
            <w:tcW w:w="1485" w:type="dxa"/>
            <w:tcBorders>
              <w:top w:val="single" w:sz="12" w:space="0" w:color="000000"/>
              <w:left w:val="single" w:sz="12" w:space="0" w:color="FFFFFF"/>
              <w:bottom w:val="single" w:sz="12" w:space="0" w:color="000000"/>
              <w:right w:val="single" w:sz="12" w:space="0" w:color="FFFFFF"/>
            </w:tcBorders>
            <w:vAlign w:val="center"/>
          </w:tcPr>
          <w:p>
            <w:pPr>
              <w:pStyle w:val="LOnormal"/>
              <w:widowControl w:val="false"/>
              <w:jc w:val="center"/>
              <w:rPr>
                <w:b/>
                <w:b/>
              </w:rPr>
            </w:pPr>
            <w:r>
              <w:rPr>
                <w:rFonts w:ascii="arial" w:hAnsi="arial"/>
              </w:rPr>
              <w:t>-</w:t>
            </w:r>
          </w:p>
        </w:tc>
      </w:tr>
    </w:tbl>
    <w:p>
      <w:pPr>
        <w:pStyle w:val="LOnormal"/>
        <w:jc w:val="both"/>
        <w:rPr>
          <w:b/>
          <w:b/>
        </w:rPr>
      </w:pPr>
      <w:r>
        <w:rPr>
          <w:rFonts w:ascii="arial" w:hAnsi="arial"/>
        </w:rPr>
        <w:t>---</w:t>
      </w:r>
    </w:p>
    <w:p>
      <w:pPr>
        <w:pStyle w:val="LOnormal"/>
        <w:jc w:val="both"/>
        <w:rPr>
          <w:b/>
          <w:b/>
        </w:rPr>
      </w:pPr>
      <w:r>
        <w:rPr>
          <w:rFonts w:ascii="arial" w:hAnsi="arial"/>
        </w:rPr>
        <w:t xml:space="preserve">Df: Degrees of freedom, </w:t>
      </w:r>
      <w:r>
        <w:rPr>
          <w:rFonts w:ascii="arial" w:hAnsi="arial"/>
          <w:i/>
        </w:rPr>
        <w:t>F</w:t>
      </w:r>
      <w:r>
        <w:rPr>
          <w:rFonts w:ascii="arial" w:hAnsi="arial"/>
        </w:rPr>
        <w:t xml:space="preserve">-Model: </w:t>
      </w:r>
      <w:r>
        <w:rPr>
          <w:rFonts w:ascii="arial" w:hAnsi="arial"/>
          <w:i/>
        </w:rPr>
        <w:t>pseudo F</w:t>
      </w:r>
      <w:r>
        <w:rPr>
          <w:rFonts w:ascii="arial" w:hAnsi="arial"/>
        </w:rPr>
        <w:t>-test statistic, R</w:t>
      </w:r>
      <w:r>
        <w:rPr>
          <w:rFonts w:ascii="arial" w:hAnsi="arial"/>
          <w:vertAlign w:val="superscript"/>
        </w:rPr>
        <w:t>2</w:t>
      </w:r>
      <w:r>
        <w:rPr>
          <w:rFonts w:ascii="arial" w:hAnsi="arial"/>
        </w:rPr>
        <w:t xml:space="preserve">: Variance explained and </w:t>
      </w:r>
      <w:r>
        <w:rPr>
          <w:rFonts w:ascii="arial" w:hAnsi="arial"/>
          <w:i/>
        </w:rPr>
        <w:t xml:space="preserve">p </w:t>
      </w:r>
      <w:r>
        <w:rPr>
          <w:rFonts w:ascii="arial" w:hAnsi="arial"/>
        </w:rPr>
        <w:t>value based on 999 permutations.</w:t>
      </w:r>
    </w:p>
    <w:p>
      <w:pPr>
        <w:pStyle w:val="LOnormal"/>
        <w:jc w:val="both"/>
        <w:rPr>
          <w:b/>
          <w:b/>
        </w:rPr>
      </w:pPr>
      <w:r>
        <w:rPr>
          <w:b/>
        </w:rPr>
      </w:r>
    </w:p>
    <w:p>
      <w:pPr>
        <w:pStyle w:val="LOnormal"/>
        <w:jc w:val="both"/>
        <w:rPr>
          <w:b/>
          <w:b/>
        </w:rPr>
      </w:pPr>
      <w:r>
        <w:rPr>
          <w:b/>
        </w:rPr>
      </w:r>
    </w:p>
    <w:p>
      <w:pPr>
        <w:pStyle w:val="LOnormal"/>
        <w:jc w:val="both"/>
        <w:rPr>
          <w:b/>
          <w:b/>
        </w:rPr>
      </w:pPr>
      <w:r>
        <w:rPr>
          <w:b/>
        </w:rPr>
      </w:r>
    </w:p>
    <w:p>
      <w:pPr>
        <w:pStyle w:val="LOnormal"/>
        <w:jc w:val="both"/>
        <w:rPr>
          <w:b/>
          <w:b/>
        </w:rPr>
      </w:pPr>
      <w:r>
        <w:rPr>
          <w:b/>
        </w:rPr>
      </w:r>
    </w:p>
    <w:p>
      <w:pPr>
        <w:pStyle w:val="LOnormal"/>
        <w:jc w:val="both"/>
        <w:rPr>
          <w:b/>
          <w:b/>
        </w:rPr>
      </w:pPr>
      <w:r>
        <w:rPr>
          <w:b/>
        </w:rPr>
      </w:r>
    </w:p>
    <w:p>
      <w:pPr>
        <w:pStyle w:val="LOnormal"/>
        <w:jc w:val="both"/>
        <w:rPr>
          <w:b/>
          <w:b/>
        </w:rPr>
      </w:pPr>
      <w:r>
        <w:rPr>
          <w:b/>
        </w:rPr>
      </w:r>
    </w:p>
    <w:p>
      <w:pPr>
        <w:pStyle w:val="LOnormal"/>
        <w:jc w:val="both"/>
        <w:rPr>
          <w:b/>
          <w:b/>
        </w:rPr>
      </w:pPr>
      <w:r>
        <w:rPr>
          <w:b/>
        </w:rPr>
      </w:r>
    </w:p>
    <w:p>
      <w:pPr>
        <w:pStyle w:val="LOnormal"/>
        <w:jc w:val="both"/>
        <w:rPr>
          <w:b/>
          <w:b/>
        </w:rPr>
      </w:pPr>
      <w:r>
        <w:rPr>
          <w:b/>
        </w:rPr>
      </w:r>
    </w:p>
    <w:p>
      <w:pPr>
        <w:pStyle w:val="LOnormal"/>
        <w:jc w:val="both"/>
        <w:rPr>
          <w:b/>
          <w:b/>
        </w:rPr>
      </w:pPr>
      <w:r>
        <w:rPr>
          <w:b/>
        </w:rPr>
      </w:r>
    </w:p>
    <w:p>
      <w:pPr>
        <w:pStyle w:val="LOnormal"/>
        <w:jc w:val="both"/>
        <w:rPr>
          <w:b/>
          <w:b/>
        </w:rPr>
      </w:pPr>
      <w:r>
        <w:rPr>
          <w:b/>
        </w:rPr>
      </w:r>
    </w:p>
    <w:p>
      <w:pPr>
        <w:sectPr>
          <w:type w:val="nextPage"/>
          <w:pgSz w:w="11906" w:h="16838"/>
          <w:pgMar w:left="1440" w:right="1440" w:header="0" w:top="1440" w:footer="0" w:bottom="1440" w:gutter="0"/>
          <w:pgNumType w:fmt="decimal"/>
          <w:formProt w:val="false"/>
          <w:textDirection w:val="lrTb"/>
          <w:docGrid w:type="default" w:linePitch="100" w:charSpace="0"/>
        </w:sectPr>
        <w:pStyle w:val="LOnormal"/>
        <w:jc w:val="both"/>
        <w:rPr>
          <w:b/>
          <w:b/>
        </w:rPr>
      </w:pPr>
      <w:r>
        <w:rPr>
          <w:b/>
        </w:rPr>
      </w:r>
    </w:p>
    <w:p>
      <w:pPr>
        <w:pStyle w:val="LOnormal"/>
        <w:shd w:val="clear" w:fill="FFFFFF"/>
        <w:spacing w:lineRule="auto" w:line="276"/>
        <w:jc w:val="both"/>
        <w:rPr/>
      </w:pPr>
      <w:r>
        <w:rPr>
          <w:rFonts w:ascii="arial" w:hAnsi="arial"/>
          <w:b/>
          <w:sz w:val="24"/>
          <w:szCs w:val="24"/>
        </w:rPr>
        <w:t xml:space="preserve">Supplement </w:t>
      </w:r>
      <w:r>
        <w:rPr>
          <w:rFonts w:eastAsia="Noto Serif CJK SC" w:cs="Lohit Devanagari" w:ascii="arial" w:hAnsi="arial"/>
          <w:b/>
          <w:color w:val="000000"/>
          <w:kern w:val="2"/>
          <w:sz w:val="24"/>
          <w:szCs w:val="24"/>
          <w:lang w:val="en-US" w:eastAsia="zh-CN" w:bidi="hi-IN"/>
        </w:rPr>
        <w:t>7</w:t>
      </w:r>
      <w:r>
        <w:rPr>
          <w:rFonts w:ascii="arial" w:hAnsi="arial"/>
          <w:b/>
          <w:sz w:val="24"/>
          <w:szCs w:val="24"/>
        </w:rPr>
        <w:t xml:space="preserve">. </w:t>
      </w:r>
      <w:r>
        <w:rPr>
          <w:rFonts w:eastAsia="Noto Serif CJK SC" w:cs="Lohit Devanagari" w:ascii="arial" w:hAnsi="arial"/>
          <w:b/>
          <w:color w:val="000000"/>
          <w:kern w:val="2"/>
          <w:sz w:val="24"/>
          <w:szCs w:val="24"/>
          <w:lang w:val="en-US" w:eastAsia="zh-CN" w:bidi="hi-IN"/>
        </w:rPr>
        <w:t xml:space="preserve">General comparison of ARG profiles based on PICRUSt2 and shotgun metagenomics. </w:t>
      </w:r>
    </w:p>
    <w:p>
      <w:pPr>
        <w:pStyle w:val="LOnormal"/>
        <w:shd w:val="clear" w:fill="FFFFFF"/>
        <w:spacing w:lineRule="auto" w:line="276"/>
        <w:jc w:val="both"/>
        <w:rPr>
          <w:b/>
          <w:b/>
        </w:rPr>
      </w:pPr>
      <w:r>
        <w:rPr>
          <w:b/>
        </w:rPr>
      </w:r>
    </w:p>
    <w:p>
      <w:pPr>
        <w:pStyle w:val="LOnormal"/>
        <w:shd w:val="clear" w:fill="FFFFFF"/>
        <w:spacing w:lineRule="auto" w:line="276"/>
        <w:jc w:val="both"/>
        <w:rPr>
          <w:b/>
          <w:b/>
        </w:rPr>
      </w:pPr>
      <w:r>
        <w:rPr>
          <w:b/>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5731510" cy="4776470"/>
            <wp:effectExtent l="0" t="0" r="0" b="0"/>
            <wp:wrapSquare wrapText="larges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5"/>
                    <a:stretch>
                      <a:fillRect/>
                    </a:stretch>
                  </pic:blipFill>
                  <pic:spPr bwMode="auto">
                    <a:xfrm>
                      <a:off x="0" y="0"/>
                      <a:ext cx="5731510" cy="4776470"/>
                    </a:xfrm>
                    <a:prstGeom prst="rect">
                      <a:avLst/>
                    </a:prstGeom>
                  </pic:spPr>
                </pic:pic>
              </a:graphicData>
            </a:graphic>
          </wp:anchor>
        </w:drawing>
      </w:r>
    </w:p>
    <w:p>
      <w:pPr>
        <w:pStyle w:val="LOnormal"/>
        <w:shd w:val="clear" w:fill="FFFFFF"/>
        <w:spacing w:lineRule="auto" w:line="276"/>
        <w:jc w:val="both"/>
        <w:rPr/>
      </w:pPr>
      <w:r>
        <w:rPr>
          <w:rFonts w:ascii="arial" w:hAnsi="arial"/>
          <w:b/>
          <w:bCs/>
        </w:rPr>
        <w:t>Supplement Figure S7.1. Co</w:t>
      </w:r>
      <w:r>
        <w:rPr>
          <w:rFonts w:eastAsia="Noto Serif CJK SC" w:cs="Lohit Devanagari" w:ascii="arial" w:hAnsi="arial"/>
          <w:b/>
          <w:bCs/>
          <w:color w:val="000000"/>
          <w:kern w:val="2"/>
          <w:sz w:val="24"/>
          <w:szCs w:val="24"/>
          <w:lang w:val="en-US" w:eastAsia="zh-CN" w:bidi="hi-IN"/>
        </w:rPr>
        <w:t>ngruent</w:t>
      </w:r>
      <w:r>
        <w:rPr>
          <w:rFonts w:ascii="arial" w:hAnsi="arial"/>
          <w:b/>
          <w:bCs/>
        </w:rPr>
        <w:t xml:space="preserve"> ARG profiles in colon content DNA based on PICRUSt2 prediction and shotgun assessment. </w:t>
      </w:r>
      <w:r>
        <w:rPr>
          <w:rFonts w:eastAsia="Noto Serif CJK SC" w:cs="Lohit Devanagari" w:ascii="arial" w:hAnsi="arial"/>
          <w:b w:val="false"/>
          <w:bCs w:val="false"/>
          <w:color w:val="0E101A"/>
          <w:kern w:val="2"/>
          <w:sz w:val="24"/>
          <w:szCs w:val="24"/>
          <w:lang w:val="en-US" w:eastAsia="zh-CN" w:bidi="hi-IN"/>
        </w:rPr>
        <w:t xml:space="preserve">Shotgun ARG profiles were assessed for an independent data set of colon-content DNA samples from 6 mice. ARG annotation was done using the Global Microbial Gen Catalog v1 and obtaining Kegg Orthologues corresponding to ARGs to compare directly against the profiles estimated by PICRUSt2. </w:t>
      </w:r>
      <w:r>
        <w:rPr>
          <w:rStyle w:val="StrongEmphasis"/>
          <w:rFonts w:eastAsia="Noto Serif CJK SC" w:cs="Lohit Devanagari" w:ascii="arial" w:hAnsi="arial"/>
          <w:color w:val="0E101A"/>
          <w:kern w:val="2"/>
          <w:sz w:val="24"/>
          <w:szCs w:val="24"/>
          <w:lang w:val="en-US" w:eastAsia="zh-CN" w:bidi="hi-IN"/>
        </w:rPr>
        <w:t xml:space="preserve">A) </w:t>
      </w:r>
      <w:r>
        <w:rPr>
          <w:rFonts w:eastAsia="Noto Serif CJK SC" w:cs="Lohit Devanagari" w:ascii="arial" w:hAnsi="arial"/>
          <w:b w:val="false"/>
          <w:bCs w:val="false"/>
          <w:color w:val="0E101A"/>
          <w:kern w:val="2"/>
          <w:sz w:val="24"/>
          <w:szCs w:val="24"/>
          <w:lang w:val="en-US" w:eastAsia="zh-CN" w:bidi="hi-IN"/>
        </w:rPr>
        <w:t xml:space="preserve">Mean relative abundance of ARGs by the antimicrobial target type. PICRUSt2 prediction underestimated the abundance of ARGs targeting aminoglycosides and sulfonamides. However, it recapitulated the abundance of other drugs, such as multidrug and beta-lactam ARGs. </w:t>
      </w:r>
      <w:r>
        <w:rPr>
          <w:rStyle w:val="StrongEmphasis"/>
          <w:rFonts w:eastAsia="Noto Serif CJK SC" w:cs="Lohit Devanagari" w:ascii="arial" w:hAnsi="arial"/>
          <w:color w:val="0E101A"/>
          <w:kern w:val="2"/>
          <w:sz w:val="24"/>
          <w:szCs w:val="24"/>
          <w:lang w:val="en-US" w:eastAsia="zh-CN" w:bidi="hi-IN"/>
        </w:rPr>
        <w:t xml:space="preserve">B) </w:t>
      </w:r>
      <w:r>
        <w:rPr>
          <w:rStyle w:val="StrongEmphasis"/>
          <w:rFonts w:eastAsia="Noto Serif CJK SC" w:cs="Lohit Devanagari" w:ascii="arial" w:hAnsi="arial"/>
          <w:b w:val="false"/>
          <w:bCs w:val="false"/>
          <w:color w:val="0E101A"/>
          <w:kern w:val="2"/>
          <w:sz w:val="24"/>
          <w:szCs w:val="24"/>
          <w:lang w:val="en-US" w:eastAsia="zh-CN" w:bidi="hi-IN"/>
        </w:rPr>
        <w:t xml:space="preserve">PICRUSt2 and shotgun ARG profiles share the majority of the genes. </w:t>
      </w:r>
      <w:r>
        <w:rPr>
          <w:rFonts w:eastAsia="Noto Serif CJK SC" w:cs="Lohit Devanagari" w:ascii="arial" w:hAnsi="arial"/>
          <w:b w:val="false"/>
          <w:bCs w:val="false"/>
          <w:color w:val="0E101A"/>
          <w:kern w:val="2"/>
          <w:sz w:val="24"/>
          <w:szCs w:val="24"/>
          <w:lang w:val="en-US" w:eastAsia="zh-CN" w:bidi="hi-IN"/>
        </w:rPr>
        <w:t>Even when PICRUSt2 underestimates the mean abundance for particular ARG types, it overall predicts more genes than the shotgun assessment.</w:t>
      </w:r>
    </w:p>
    <w:p>
      <w:pPr>
        <w:pStyle w:val="LOnormal"/>
        <w:shd w:val="clear" w:fill="FFFFFF"/>
        <w:spacing w:lineRule="auto" w:line="276"/>
        <w:jc w:val="both"/>
        <w:rPr>
          <w:b/>
          <w:b/>
        </w:rPr>
      </w:pPr>
      <w:r>
        <w:rPr>
          <w:b/>
        </w:rPr>
      </w:r>
    </w:p>
    <w:p>
      <w:pPr>
        <w:pStyle w:val="LOnormal"/>
        <w:shd w:val="clear" w:fill="FFFFFF"/>
        <w:spacing w:lineRule="auto" w:line="276"/>
        <w:jc w:val="both"/>
        <w:rPr>
          <w:b/>
          <w:b/>
        </w:rPr>
      </w:pPr>
      <w:r>
        <w:rPr>
          <w:b/>
        </w:rPr>
      </w:r>
    </w:p>
    <w:p>
      <w:pPr>
        <w:pStyle w:val="LOnormal"/>
        <w:shd w:val="clear" w:fill="FFFFFF"/>
        <w:spacing w:lineRule="auto" w:line="276"/>
        <w:jc w:val="both"/>
        <w:rPr>
          <w:b/>
          <w:b/>
        </w:rPr>
      </w:pPr>
      <w:r>
        <w:rPr>
          <w:b/>
        </w:rPr>
      </w:r>
    </w:p>
    <w:p>
      <w:pPr>
        <w:pStyle w:val="LOnormal"/>
        <w:shd w:val="clear" w:fill="FFFFFF"/>
        <w:spacing w:lineRule="auto" w:line="276"/>
        <w:jc w:val="both"/>
        <w:rPr>
          <w:b/>
          <w:b/>
        </w:rPr>
      </w:pPr>
      <w:r>
        <w:rPr>
          <w:b/>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5731510" cy="5731510"/>
            <wp:effectExtent l="0" t="0" r="0" b="0"/>
            <wp:wrapSquare wrapText="largest"/>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6"/>
                    <a:stretch>
                      <a:fillRect/>
                    </a:stretch>
                  </pic:blipFill>
                  <pic:spPr bwMode="auto">
                    <a:xfrm>
                      <a:off x="0" y="0"/>
                      <a:ext cx="5731510" cy="5731510"/>
                    </a:xfrm>
                    <a:prstGeom prst="rect">
                      <a:avLst/>
                    </a:prstGeom>
                  </pic:spPr>
                </pic:pic>
              </a:graphicData>
            </a:graphic>
          </wp:anchor>
        </w:drawing>
      </w:r>
    </w:p>
    <w:p>
      <w:pPr>
        <w:pStyle w:val="LOnormal"/>
        <w:shd w:val="clear" w:fill="FFFFFF"/>
        <w:spacing w:lineRule="auto" w:line="276"/>
        <w:jc w:val="both"/>
        <w:rPr/>
      </w:pPr>
      <w:r>
        <w:rPr>
          <w:rFonts w:eastAsia="Noto Serif CJK SC" w:cs="Lohit Devanagari" w:ascii="arial" w:hAnsi="arial"/>
          <w:b/>
          <w:bCs/>
          <w:color w:val="0E101A"/>
          <w:kern w:val="2"/>
          <w:sz w:val="24"/>
          <w:szCs w:val="24"/>
          <w:lang w:val="en-US" w:eastAsia="zh-CN" w:bidi="hi-IN"/>
        </w:rPr>
        <w:t xml:space="preserve">Supplement Figure S7.2. </w:t>
      </w:r>
      <w:bookmarkStart w:id="7" w:name="docs-internal-guid-b990d22d-7fff-5842-0e"/>
      <w:bookmarkEnd w:id="7"/>
      <w:r>
        <w:rPr>
          <w:rFonts w:eastAsia="Noto Serif CJK SC" w:cs="Lohit Devanagari" w:ascii="arial" w:hAnsi="arial"/>
          <w:b/>
          <w:bCs/>
          <w:color w:val="0E101A"/>
          <w:kern w:val="2"/>
          <w:sz w:val="24"/>
          <w:szCs w:val="24"/>
          <w:lang w:val="en-US" w:eastAsia="zh-CN" w:bidi="hi-IN"/>
        </w:rPr>
        <w:t xml:space="preserve">Hybrid effect on ARG richness predicted with Picrust2 is robust when only ARGs detected with metagenomics are considered. </w:t>
      </w:r>
      <w:r>
        <w:rPr>
          <w:rFonts w:eastAsia="Noto Serif CJK SC" w:cs="Lohit Devanagari" w:ascii="Arial;sans-serif" w:hAnsi="Arial;sans-serif"/>
          <w:b w:val="false"/>
          <w:bCs/>
          <w:i w:val="false"/>
          <w:caps w:val="false"/>
          <w:smallCaps w:val="false"/>
          <w:strike w:val="false"/>
          <w:dstrike w:val="false"/>
          <w:color w:val="0E101A"/>
          <w:kern w:val="2"/>
          <w:sz w:val="22"/>
          <w:szCs w:val="24"/>
          <w:u w:val="none"/>
          <w:effect w:val="none"/>
          <w:lang w:val="en-US" w:eastAsia="zh-CN" w:bidi="hi-IN"/>
        </w:rPr>
        <w:t xml:space="preserve">The ARG richness in hybrids remains higher when considering only ARGs detected by metagenomics. The richness of predicted only considering ARGs detected by Picrust2 and shotgun metagenomics (90 ARGs) increased towards the centre of the hybrid zone (LLV= -1750.63, α= 0.373, </w:t>
      </w:r>
      <w:r>
        <w:rPr>
          <w:rFonts w:eastAsia="Noto Serif CJK SC" w:cs="Lohit Devanagari" w:ascii="Arial;sans-serif" w:hAnsi="Arial;sans-serif"/>
          <w:b w:val="false"/>
          <w:bCs/>
          <w:i/>
          <w:caps w:val="false"/>
          <w:smallCaps w:val="false"/>
          <w:strike w:val="false"/>
          <w:dstrike w:val="false"/>
          <w:color w:val="0E101A"/>
          <w:kern w:val="2"/>
          <w:sz w:val="22"/>
          <w:szCs w:val="24"/>
          <w:u w:val="none"/>
          <w:effect w:val="none"/>
          <w:lang w:val="en-US" w:eastAsia="zh-CN" w:bidi="hi-IN"/>
        </w:rPr>
        <w:t>p.adj</w:t>
      </w:r>
      <w:r>
        <w:rPr>
          <w:rFonts w:eastAsia="Noto Serif CJK SC" w:cs="Lohit Devanagari" w:ascii="Arial;sans-serif" w:hAnsi="Arial;sans-serif"/>
          <w:b w:val="false"/>
          <w:bCs/>
          <w:i w:val="false"/>
          <w:caps w:val="false"/>
          <w:smallCaps w:val="false"/>
          <w:strike w:val="false"/>
          <w:dstrike w:val="false"/>
          <w:color w:val="0E101A"/>
          <w:kern w:val="2"/>
          <w:sz w:val="22"/>
          <w:szCs w:val="24"/>
          <w:u w:val="none"/>
          <w:effect w:val="none"/>
          <w:lang w:val="en-US" w:eastAsia="zh-CN" w:bidi="hi-IN"/>
        </w:rPr>
        <w:t>= 0.0012).</w:t>
      </w:r>
    </w:p>
    <w:p>
      <w:pPr>
        <w:pStyle w:val="LOnormal"/>
        <w:shd w:val="clear" w:fill="FFFFFF"/>
        <w:spacing w:lineRule="auto" w:line="276"/>
        <w:jc w:val="both"/>
        <w:rPr>
          <w:b/>
          <w:b/>
        </w:rPr>
      </w:pPr>
      <w:r>
        <w:rPr/>
      </w:r>
    </w:p>
    <w:sectPr>
      <w:type w:val="nextPage"/>
      <w:pgSz w:w="11906" w:h="16838"/>
      <w:pgMar w:left="1440" w:right="1440" w:header="0" w:top="1440" w:footer="0" w:bottom="144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arial">
    <w:charset w:val="01"/>
    <w:family w:val="roman"/>
    <w:pitch w:val="variable"/>
  </w:font>
  <w:font w:name="Arial">
    <w:altName w:val="sans-serif"/>
    <w:charset w:val="01"/>
    <w:family w:val="roman"/>
    <w:pitch w:val="variable"/>
  </w:font>
  <w:font w:name="DejaVu Sans">
    <w:charset w:val="01"/>
    <w:family w:val="roman"/>
    <w:pitch w:val="variable"/>
  </w:font>
</w:fonts>
</file>

<file path=word/settings.xml><?xml version="1.0" encoding="utf-8"?>
<w:settings xmlns:w="http://schemas.openxmlformats.org/wordprocessingml/2006/main">
  <w:zoom w:percent="183"/>
  <w:defaultTabStop w:val="720"/>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 w:val="20"/>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oto Serif CJK SC" w:cs="Lohit Devanagari"/>
      <w:color w:val="auto"/>
      <w:kern w:val="2"/>
      <w:sz w:val="24"/>
      <w:szCs w:val="24"/>
      <w:lang w:val="en-US" w:eastAsia="zh-CN" w:bidi="hi-IN"/>
    </w:rPr>
  </w:style>
  <w:style w:type="character" w:styleId="StrongEmphasis">
    <w:name w:val="Strong Emphasis"/>
    <w:qFormat/>
    <w:rPr>
      <w:b/>
      <w:bCs/>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Onormal">
    <w:name w:val="LO-normal"/>
    <w:qFormat/>
    <w:pPr>
      <w:widowControl/>
      <w:suppressAutoHyphens w:val="true"/>
      <w:bidi w:val="0"/>
      <w:spacing w:lineRule="auto" w:line="276" w:before="0" w:after="0"/>
      <w:jc w:val="left"/>
    </w:pPr>
    <w:rPr>
      <w:rFonts w:ascii="Liberation Serif" w:hAnsi="Liberation Serif" w:eastAsia="Noto Serif CJK SC" w:cs="Lohit Devanagari"/>
      <w:color w:val="auto"/>
      <w:kern w:val="2"/>
      <w:sz w:val="24"/>
      <w:szCs w:val="24"/>
      <w:lang w:val="en-US" w:eastAsia="zh-CN" w:bidi="hi-IN"/>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901</TotalTime>
  <Application>LibreOffice/6.4.7.2$Linux_X86_64 LibreOffice_project/40$Build-2</Application>
  <Pages>17</Pages>
  <Words>3873</Words>
  <Characters>22903</Characters>
  <CharactersWithSpaces>26039</CharactersWithSpaces>
  <Paragraphs>797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2023-06-28T10:55:27Z</dcterms:created>
  <dc:creator/>
  <dc:description/>
  <dc:language>en-US</dc:language>
  <cp:lastModifiedBy/>
  <dcterms:modified xsi:type="dcterms:W3CDTF">2024-04-05T09:08:01Z</dcterms:modified>
  <cp:revision>71</cp:revision>
  <dc:subject/>
  <dc:title/>
</cp:coreProperties>
</file>