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53C4" w14:textId="7A73CABF" w:rsidR="004A0730" w:rsidRDefault="004A0730" w:rsidP="004A0730">
      <w:pPr>
        <w:spacing w:line="480" w:lineRule="auto"/>
        <w:rPr>
          <w:rFonts w:ascii="Arial" w:hAnsi="Arial" w:cs="Arial"/>
          <w:b/>
          <w:bCs/>
          <w:sz w:val="24"/>
          <w:szCs w:val="24"/>
        </w:rPr>
      </w:pPr>
      <w:r>
        <w:rPr>
          <w:rFonts w:ascii="Arial" w:hAnsi="Arial" w:cs="Arial"/>
          <w:b/>
          <w:bCs/>
          <w:sz w:val="24"/>
          <w:szCs w:val="24"/>
        </w:rPr>
        <w:t>Supplementary Material</w:t>
      </w:r>
    </w:p>
    <w:p w14:paraId="5DD5D82A" w14:textId="791BC9C1" w:rsidR="004A0730" w:rsidRPr="004A0730" w:rsidRDefault="004A0730" w:rsidP="004A0730">
      <w:pPr>
        <w:spacing w:line="480" w:lineRule="auto"/>
        <w:rPr>
          <w:rFonts w:ascii="Arial" w:hAnsi="Arial" w:cs="Arial"/>
          <w:b/>
          <w:bCs/>
          <w:sz w:val="24"/>
          <w:szCs w:val="24"/>
        </w:rPr>
      </w:pPr>
      <w:r w:rsidRPr="003123D7">
        <w:rPr>
          <w:rFonts w:ascii="Arial" w:hAnsi="Arial" w:cs="Arial"/>
          <w:b/>
          <w:bCs/>
          <w:sz w:val="24"/>
          <w:szCs w:val="24"/>
        </w:rPr>
        <w:t xml:space="preserve">Title: Inebilizumab </w:t>
      </w:r>
      <w:r>
        <w:rPr>
          <w:rFonts w:ascii="Arial" w:hAnsi="Arial" w:cs="Arial"/>
          <w:b/>
          <w:bCs/>
          <w:sz w:val="24"/>
          <w:szCs w:val="24"/>
        </w:rPr>
        <w:t>R</w:t>
      </w:r>
      <w:r w:rsidRPr="003123D7">
        <w:rPr>
          <w:rFonts w:ascii="Arial" w:hAnsi="Arial" w:cs="Arial"/>
          <w:b/>
          <w:bCs/>
          <w:sz w:val="24"/>
          <w:szCs w:val="24"/>
        </w:rPr>
        <w:t xml:space="preserve">educes Neuromyelitis Optica Spectrum Disorder </w:t>
      </w:r>
      <w:r>
        <w:rPr>
          <w:rFonts w:ascii="Arial" w:hAnsi="Arial" w:cs="Arial"/>
          <w:b/>
          <w:bCs/>
          <w:sz w:val="24"/>
          <w:szCs w:val="24"/>
        </w:rPr>
        <w:t>R</w:t>
      </w:r>
      <w:r w:rsidRPr="003123D7">
        <w:rPr>
          <w:rFonts w:ascii="Arial" w:hAnsi="Arial" w:cs="Arial"/>
          <w:b/>
          <w:bCs/>
          <w:sz w:val="24"/>
          <w:szCs w:val="24"/>
        </w:rPr>
        <w:t>isk</w:t>
      </w:r>
      <w:r>
        <w:rPr>
          <w:rFonts w:ascii="Arial" w:hAnsi="Arial" w:cs="Arial"/>
          <w:b/>
          <w:bCs/>
          <w:sz w:val="24"/>
          <w:szCs w:val="24"/>
        </w:rPr>
        <w:t xml:space="preserve"> I</w:t>
      </w:r>
      <w:r w:rsidRPr="003123D7">
        <w:rPr>
          <w:rFonts w:ascii="Arial" w:hAnsi="Arial" w:cs="Arial"/>
          <w:b/>
          <w:bCs/>
          <w:sz w:val="24"/>
          <w:szCs w:val="24"/>
        </w:rPr>
        <w:t xml:space="preserve">ndependent of </w:t>
      </w:r>
      <w:r w:rsidRPr="00A82C88">
        <w:rPr>
          <w:rFonts w:ascii="Arial" w:hAnsi="Arial" w:cs="Arial"/>
          <w:b/>
          <w:bCs/>
          <w:i/>
          <w:iCs/>
          <w:sz w:val="24"/>
          <w:szCs w:val="24"/>
        </w:rPr>
        <w:t>FCGR3A</w:t>
      </w:r>
      <w:r w:rsidRPr="003123D7">
        <w:rPr>
          <w:rFonts w:ascii="Arial" w:hAnsi="Arial" w:cs="Arial"/>
          <w:b/>
          <w:bCs/>
          <w:sz w:val="24"/>
          <w:szCs w:val="24"/>
        </w:rPr>
        <w:t xml:space="preserve"> Polymorphism</w:t>
      </w:r>
    </w:p>
    <w:p w14:paraId="6FD2B166" w14:textId="77777777" w:rsidR="004A0730" w:rsidRPr="00A15BFA" w:rsidRDefault="004A0730" w:rsidP="004A0730">
      <w:pPr>
        <w:spacing w:after="0" w:line="480" w:lineRule="auto"/>
        <w:rPr>
          <w:rFonts w:ascii="Arial" w:hAnsi="Arial" w:cs="Arial"/>
          <w:b/>
          <w:bCs/>
          <w:sz w:val="24"/>
          <w:szCs w:val="24"/>
        </w:rPr>
      </w:pPr>
      <w:r w:rsidRPr="00A15BFA">
        <w:rPr>
          <w:rFonts w:ascii="Arial" w:hAnsi="Arial" w:cs="Arial"/>
          <w:b/>
          <w:bCs/>
          <w:sz w:val="24"/>
          <w:szCs w:val="24"/>
        </w:rPr>
        <w:t>Author List:</w:t>
      </w:r>
    </w:p>
    <w:p w14:paraId="00EC96B6" w14:textId="3A17EBB2" w:rsidR="004A0730" w:rsidRDefault="004A0730" w:rsidP="004A0730">
      <w:pPr>
        <w:spacing w:after="0" w:line="480" w:lineRule="auto"/>
        <w:rPr>
          <w:rFonts w:ascii="Arial" w:hAnsi="Arial" w:cs="Arial"/>
          <w:sz w:val="24"/>
          <w:szCs w:val="24"/>
        </w:rPr>
      </w:pPr>
      <w:r w:rsidRPr="00A15BFA">
        <w:rPr>
          <w:rFonts w:ascii="Arial" w:hAnsi="Arial" w:cs="Arial"/>
          <w:sz w:val="24"/>
          <w:szCs w:val="24"/>
        </w:rPr>
        <w:t>H</w:t>
      </w:r>
      <w:r>
        <w:rPr>
          <w:rFonts w:ascii="Arial" w:hAnsi="Arial" w:cs="Arial"/>
          <w:sz w:val="24"/>
          <w:szCs w:val="24"/>
        </w:rPr>
        <w:t xml:space="preserve">o </w:t>
      </w:r>
      <w:r w:rsidRPr="00A15BFA">
        <w:rPr>
          <w:rFonts w:ascii="Arial" w:hAnsi="Arial" w:cs="Arial"/>
          <w:sz w:val="24"/>
          <w:szCs w:val="24"/>
        </w:rPr>
        <w:t>J</w:t>
      </w:r>
      <w:r>
        <w:rPr>
          <w:rFonts w:ascii="Arial" w:hAnsi="Arial" w:cs="Arial"/>
          <w:sz w:val="24"/>
          <w:szCs w:val="24"/>
        </w:rPr>
        <w:t>in</w:t>
      </w:r>
      <w:r w:rsidRPr="00A15BFA">
        <w:rPr>
          <w:rFonts w:ascii="Arial" w:hAnsi="Arial" w:cs="Arial"/>
          <w:sz w:val="24"/>
          <w:szCs w:val="24"/>
        </w:rPr>
        <w:t xml:space="preserve"> Kim,</w:t>
      </w:r>
      <w:r>
        <w:rPr>
          <w:rFonts w:ascii="Arial" w:hAnsi="Arial" w:cs="Arial"/>
          <w:sz w:val="24"/>
          <w:szCs w:val="24"/>
        </w:rPr>
        <w:t xml:space="preserve"> MD, PhD;</w:t>
      </w:r>
      <w:r w:rsidRPr="00A15BFA">
        <w:rPr>
          <w:rFonts w:ascii="Arial" w:hAnsi="Arial" w:cs="Arial"/>
          <w:sz w:val="24"/>
          <w:szCs w:val="24"/>
          <w:vertAlign w:val="superscript"/>
        </w:rPr>
        <w:t xml:space="preserve"> 1</w:t>
      </w:r>
      <w:r w:rsidRPr="00A15BFA">
        <w:rPr>
          <w:rFonts w:ascii="Arial" w:hAnsi="Arial" w:cs="Arial"/>
          <w:sz w:val="24"/>
          <w:szCs w:val="24"/>
        </w:rPr>
        <w:t xml:space="preserve"> O</w:t>
      </w:r>
      <w:r>
        <w:rPr>
          <w:rFonts w:ascii="Arial" w:hAnsi="Arial" w:cs="Arial"/>
          <w:sz w:val="24"/>
          <w:szCs w:val="24"/>
        </w:rPr>
        <w:t>rhan</w:t>
      </w:r>
      <w:r w:rsidRPr="00A15BFA">
        <w:rPr>
          <w:rFonts w:ascii="Arial" w:hAnsi="Arial" w:cs="Arial"/>
          <w:sz w:val="24"/>
          <w:szCs w:val="24"/>
        </w:rPr>
        <w:t xml:space="preserve"> Aktas,</w:t>
      </w:r>
      <w:r>
        <w:rPr>
          <w:rFonts w:ascii="Arial" w:hAnsi="Arial" w:cs="Arial"/>
          <w:sz w:val="24"/>
          <w:szCs w:val="24"/>
        </w:rPr>
        <w:t xml:space="preserve"> MD;</w:t>
      </w:r>
      <w:r w:rsidRPr="00A15BFA">
        <w:rPr>
          <w:rFonts w:ascii="Arial" w:hAnsi="Arial" w:cs="Arial"/>
          <w:sz w:val="24"/>
          <w:szCs w:val="24"/>
          <w:vertAlign w:val="superscript"/>
        </w:rPr>
        <w:t xml:space="preserve"> 2</w:t>
      </w:r>
      <w:r w:rsidRPr="00A15BFA">
        <w:rPr>
          <w:rFonts w:ascii="Arial" w:hAnsi="Arial" w:cs="Arial"/>
          <w:sz w:val="24"/>
          <w:szCs w:val="24"/>
        </w:rPr>
        <w:t xml:space="preserve"> K</w:t>
      </w:r>
      <w:r>
        <w:rPr>
          <w:rFonts w:ascii="Arial" w:hAnsi="Arial" w:cs="Arial"/>
          <w:sz w:val="24"/>
          <w:szCs w:val="24"/>
        </w:rPr>
        <w:t xml:space="preserve">ristina </w:t>
      </w:r>
      <w:r w:rsidRPr="00A15BFA">
        <w:rPr>
          <w:rFonts w:ascii="Arial" w:hAnsi="Arial" w:cs="Arial"/>
          <w:sz w:val="24"/>
          <w:szCs w:val="24"/>
        </w:rPr>
        <w:t>R. Patterson,</w:t>
      </w:r>
      <w:r>
        <w:rPr>
          <w:rFonts w:ascii="Arial" w:hAnsi="Arial" w:cs="Arial"/>
          <w:sz w:val="24"/>
          <w:szCs w:val="24"/>
        </w:rPr>
        <w:t xml:space="preserve"> MD, PhD;</w:t>
      </w:r>
      <w:r w:rsidRPr="00A15BFA">
        <w:rPr>
          <w:rFonts w:ascii="Arial" w:hAnsi="Arial" w:cs="Arial"/>
          <w:sz w:val="24"/>
          <w:szCs w:val="24"/>
          <w:vertAlign w:val="superscript"/>
        </w:rPr>
        <w:t xml:space="preserve"> 3</w:t>
      </w:r>
      <w:r w:rsidRPr="00A15BFA">
        <w:rPr>
          <w:rFonts w:ascii="Arial" w:hAnsi="Arial" w:cs="Arial"/>
          <w:sz w:val="24"/>
          <w:szCs w:val="24"/>
        </w:rPr>
        <w:t xml:space="preserve"> S</w:t>
      </w:r>
      <w:r>
        <w:rPr>
          <w:rFonts w:ascii="Arial" w:hAnsi="Arial" w:cs="Arial"/>
          <w:sz w:val="24"/>
          <w:szCs w:val="24"/>
        </w:rPr>
        <w:t>chaun</w:t>
      </w:r>
      <w:r w:rsidRPr="00A15BFA">
        <w:rPr>
          <w:rFonts w:ascii="Arial" w:hAnsi="Arial" w:cs="Arial"/>
          <w:sz w:val="24"/>
          <w:szCs w:val="24"/>
        </w:rPr>
        <w:t xml:space="preserve"> Korff,</w:t>
      </w:r>
      <w:r>
        <w:rPr>
          <w:rFonts w:ascii="Arial" w:hAnsi="Arial" w:cs="Arial"/>
          <w:sz w:val="24"/>
          <w:szCs w:val="24"/>
        </w:rPr>
        <w:t xml:space="preserve"> PhD, MSc, MS;</w:t>
      </w:r>
      <w:r w:rsidRPr="00A15BFA">
        <w:rPr>
          <w:rFonts w:ascii="Arial" w:hAnsi="Arial" w:cs="Arial"/>
          <w:sz w:val="24"/>
          <w:szCs w:val="24"/>
          <w:vertAlign w:val="superscript"/>
        </w:rPr>
        <w:t xml:space="preserve"> 3</w:t>
      </w:r>
      <w:r w:rsidRPr="00A15BFA">
        <w:rPr>
          <w:rFonts w:ascii="Arial" w:hAnsi="Arial" w:cs="Arial"/>
          <w:sz w:val="24"/>
          <w:szCs w:val="24"/>
        </w:rPr>
        <w:t xml:space="preserve"> A</w:t>
      </w:r>
      <w:r>
        <w:rPr>
          <w:rFonts w:ascii="Arial" w:hAnsi="Arial" w:cs="Arial"/>
          <w:sz w:val="24"/>
          <w:szCs w:val="24"/>
        </w:rPr>
        <w:t>my</w:t>
      </w:r>
      <w:r w:rsidRPr="00A15BFA">
        <w:rPr>
          <w:rFonts w:ascii="Arial" w:hAnsi="Arial" w:cs="Arial"/>
          <w:sz w:val="24"/>
          <w:szCs w:val="24"/>
        </w:rPr>
        <w:t xml:space="preserve"> Kunchok,</w:t>
      </w:r>
      <w:r>
        <w:rPr>
          <w:rFonts w:ascii="Arial" w:hAnsi="Arial" w:cs="Arial"/>
          <w:sz w:val="24"/>
          <w:szCs w:val="24"/>
        </w:rPr>
        <w:t xml:space="preserve"> MD;</w:t>
      </w:r>
      <w:r w:rsidRPr="00A15BFA">
        <w:rPr>
          <w:rFonts w:ascii="Arial" w:hAnsi="Arial" w:cs="Arial"/>
          <w:sz w:val="24"/>
          <w:szCs w:val="24"/>
          <w:vertAlign w:val="superscript"/>
        </w:rPr>
        <w:t>4</w:t>
      </w:r>
      <w:r w:rsidRPr="00A15BFA">
        <w:rPr>
          <w:rFonts w:ascii="Arial" w:hAnsi="Arial" w:cs="Arial"/>
          <w:sz w:val="24"/>
          <w:szCs w:val="24"/>
        </w:rPr>
        <w:t xml:space="preserve"> J</w:t>
      </w:r>
      <w:r>
        <w:rPr>
          <w:rFonts w:ascii="Arial" w:hAnsi="Arial" w:cs="Arial"/>
          <w:sz w:val="24"/>
          <w:szCs w:val="24"/>
        </w:rPr>
        <w:t xml:space="preserve">effrey </w:t>
      </w:r>
      <w:r w:rsidRPr="00A15BFA">
        <w:rPr>
          <w:rFonts w:ascii="Arial" w:hAnsi="Arial" w:cs="Arial"/>
          <w:sz w:val="24"/>
          <w:szCs w:val="24"/>
        </w:rPr>
        <w:t>L. Bennett,</w:t>
      </w:r>
      <w:r>
        <w:rPr>
          <w:rFonts w:ascii="Arial" w:hAnsi="Arial" w:cs="Arial"/>
          <w:sz w:val="24"/>
          <w:szCs w:val="24"/>
        </w:rPr>
        <w:t xml:space="preserve"> MD, PhD;</w:t>
      </w:r>
      <w:r w:rsidRPr="00A15BFA">
        <w:rPr>
          <w:rFonts w:ascii="Arial" w:hAnsi="Arial" w:cs="Arial"/>
          <w:sz w:val="24"/>
          <w:szCs w:val="24"/>
          <w:vertAlign w:val="superscript"/>
        </w:rPr>
        <w:t>5</w:t>
      </w:r>
      <w:r w:rsidRPr="00A15BFA">
        <w:rPr>
          <w:rFonts w:ascii="Arial" w:hAnsi="Arial" w:cs="Arial"/>
          <w:sz w:val="24"/>
          <w:szCs w:val="24"/>
        </w:rPr>
        <w:t xml:space="preserve"> B</w:t>
      </w:r>
      <w:r>
        <w:rPr>
          <w:rFonts w:ascii="Arial" w:hAnsi="Arial" w:cs="Arial"/>
          <w:sz w:val="24"/>
          <w:szCs w:val="24"/>
        </w:rPr>
        <w:t xml:space="preserve">rian </w:t>
      </w:r>
      <w:r w:rsidRPr="00A15BFA">
        <w:rPr>
          <w:rFonts w:ascii="Arial" w:hAnsi="Arial" w:cs="Arial"/>
          <w:sz w:val="24"/>
          <w:szCs w:val="24"/>
        </w:rPr>
        <w:t>G. Weinshenker,</w:t>
      </w:r>
      <w:r>
        <w:rPr>
          <w:rFonts w:ascii="Arial" w:hAnsi="Arial" w:cs="Arial"/>
          <w:sz w:val="24"/>
          <w:szCs w:val="24"/>
        </w:rPr>
        <w:t xml:space="preserve"> MD;</w:t>
      </w:r>
      <w:r w:rsidRPr="00A15BFA">
        <w:rPr>
          <w:rFonts w:ascii="Arial" w:hAnsi="Arial" w:cs="Arial"/>
          <w:sz w:val="24"/>
          <w:szCs w:val="24"/>
          <w:vertAlign w:val="superscript"/>
        </w:rPr>
        <w:t>6</w:t>
      </w:r>
      <w:r w:rsidRPr="00A15BFA">
        <w:rPr>
          <w:rFonts w:ascii="Arial" w:hAnsi="Arial" w:cs="Arial"/>
          <w:sz w:val="24"/>
          <w:szCs w:val="24"/>
        </w:rPr>
        <w:t xml:space="preserve"> F</w:t>
      </w:r>
      <w:r>
        <w:rPr>
          <w:rFonts w:ascii="Arial" w:hAnsi="Arial" w:cs="Arial"/>
          <w:sz w:val="24"/>
          <w:szCs w:val="24"/>
        </w:rPr>
        <w:t>riedemann</w:t>
      </w:r>
      <w:r w:rsidRPr="00A15BFA">
        <w:rPr>
          <w:rFonts w:ascii="Arial" w:hAnsi="Arial" w:cs="Arial"/>
          <w:sz w:val="24"/>
          <w:szCs w:val="24"/>
        </w:rPr>
        <w:t xml:space="preserve"> Paul,</w:t>
      </w:r>
      <w:r>
        <w:rPr>
          <w:rFonts w:ascii="Arial" w:hAnsi="Arial" w:cs="Arial"/>
          <w:sz w:val="24"/>
          <w:szCs w:val="24"/>
        </w:rPr>
        <w:t xml:space="preserve"> MD;</w:t>
      </w:r>
      <w:r w:rsidRPr="00A15BFA">
        <w:rPr>
          <w:rFonts w:ascii="Arial" w:hAnsi="Arial" w:cs="Arial"/>
          <w:sz w:val="24"/>
          <w:szCs w:val="24"/>
          <w:vertAlign w:val="superscript"/>
        </w:rPr>
        <w:t>7</w:t>
      </w:r>
      <w:r w:rsidRPr="00A15BFA">
        <w:rPr>
          <w:rFonts w:ascii="Arial" w:hAnsi="Arial" w:cs="Arial"/>
          <w:sz w:val="24"/>
          <w:szCs w:val="24"/>
        </w:rPr>
        <w:t xml:space="preserve"> H</w:t>
      </w:r>
      <w:r>
        <w:rPr>
          <w:rFonts w:ascii="Arial" w:hAnsi="Arial" w:cs="Arial"/>
          <w:sz w:val="24"/>
          <w:szCs w:val="24"/>
        </w:rPr>
        <w:t>ans</w:t>
      </w:r>
      <w:r w:rsidRPr="00A15BFA">
        <w:rPr>
          <w:rFonts w:ascii="Arial" w:hAnsi="Arial" w:cs="Arial"/>
          <w:sz w:val="24"/>
          <w:szCs w:val="24"/>
        </w:rPr>
        <w:t>-P</w:t>
      </w:r>
      <w:r>
        <w:rPr>
          <w:rFonts w:ascii="Arial" w:hAnsi="Arial" w:cs="Arial"/>
          <w:sz w:val="24"/>
          <w:szCs w:val="24"/>
        </w:rPr>
        <w:t>eter</w:t>
      </w:r>
      <w:r w:rsidRPr="00A15BFA">
        <w:rPr>
          <w:rFonts w:ascii="Arial" w:hAnsi="Arial" w:cs="Arial"/>
          <w:sz w:val="24"/>
          <w:szCs w:val="24"/>
        </w:rPr>
        <w:t xml:space="preserve"> Hartung,</w:t>
      </w:r>
      <w:r w:rsidRPr="00FC1BC2">
        <w:rPr>
          <w:rFonts w:ascii="Arial" w:hAnsi="Arial" w:cs="Arial"/>
          <w:sz w:val="24"/>
          <w:szCs w:val="24"/>
        </w:rPr>
        <w:t xml:space="preserve"> MD</w:t>
      </w:r>
      <w:r>
        <w:rPr>
          <w:rFonts w:ascii="Arial" w:hAnsi="Arial" w:cs="Arial"/>
          <w:sz w:val="24"/>
          <w:szCs w:val="24"/>
        </w:rPr>
        <w:t>,</w:t>
      </w:r>
      <w:r w:rsidRPr="00FC1BC2">
        <w:rPr>
          <w:rFonts w:ascii="Arial" w:hAnsi="Arial" w:cs="Arial"/>
          <w:sz w:val="24"/>
          <w:szCs w:val="24"/>
        </w:rPr>
        <w:t xml:space="preserve"> FRCP</w:t>
      </w:r>
      <w:r>
        <w:rPr>
          <w:rFonts w:ascii="Arial" w:hAnsi="Arial" w:cs="Arial"/>
          <w:sz w:val="24"/>
          <w:szCs w:val="24"/>
        </w:rPr>
        <w:t>,</w:t>
      </w:r>
      <w:r w:rsidRPr="00FC1BC2">
        <w:rPr>
          <w:rFonts w:ascii="Arial" w:hAnsi="Arial" w:cs="Arial"/>
          <w:sz w:val="24"/>
          <w:szCs w:val="24"/>
        </w:rPr>
        <w:t xml:space="preserve"> FAAN</w:t>
      </w:r>
      <w:r>
        <w:rPr>
          <w:rFonts w:ascii="Arial" w:hAnsi="Arial" w:cs="Arial"/>
          <w:sz w:val="24"/>
          <w:szCs w:val="24"/>
        </w:rPr>
        <w:t>,</w:t>
      </w:r>
      <w:r w:rsidRPr="00FC1BC2">
        <w:rPr>
          <w:rFonts w:ascii="Arial" w:hAnsi="Arial" w:cs="Arial"/>
          <w:sz w:val="24"/>
          <w:szCs w:val="24"/>
        </w:rPr>
        <w:t xml:space="preserve"> FANA</w:t>
      </w:r>
      <w:r>
        <w:rPr>
          <w:rFonts w:ascii="Arial" w:hAnsi="Arial" w:cs="Arial"/>
          <w:sz w:val="24"/>
          <w:szCs w:val="24"/>
        </w:rPr>
        <w:t>,</w:t>
      </w:r>
      <w:r w:rsidRPr="00FC1BC2">
        <w:rPr>
          <w:rFonts w:ascii="Arial" w:hAnsi="Arial" w:cs="Arial"/>
          <w:sz w:val="24"/>
          <w:szCs w:val="24"/>
        </w:rPr>
        <w:t xml:space="preserve"> FEAN</w:t>
      </w:r>
      <w:r>
        <w:rPr>
          <w:rFonts w:ascii="Arial" w:hAnsi="Arial" w:cs="Arial"/>
          <w:sz w:val="24"/>
          <w:szCs w:val="24"/>
        </w:rPr>
        <w:t>;</w:t>
      </w:r>
      <w:r w:rsidRPr="00FC1BC2">
        <w:rPr>
          <w:rFonts w:ascii="Arial" w:hAnsi="Arial" w:cs="Arial"/>
          <w:sz w:val="24"/>
          <w:szCs w:val="24"/>
        </w:rPr>
        <w:t xml:space="preserve"> </w:t>
      </w:r>
      <w:r w:rsidRPr="00A15BFA">
        <w:rPr>
          <w:rFonts w:ascii="Arial" w:hAnsi="Arial" w:cs="Arial"/>
          <w:sz w:val="24"/>
          <w:szCs w:val="24"/>
          <w:vertAlign w:val="superscript"/>
        </w:rPr>
        <w:t>8-11</w:t>
      </w:r>
      <w:r w:rsidRPr="00A15BFA">
        <w:rPr>
          <w:rFonts w:ascii="Arial" w:hAnsi="Arial" w:cs="Arial"/>
          <w:sz w:val="24"/>
          <w:szCs w:val="24"/>
        </w:rPr>
        <w:t xml:space="preserve"> D</w:t>
      </w:r>
      <w:r>
        <w:rPr>
          <w:rFonts w:ascii="Arial" w:hAnsi="Arial" w:cs="Arial"/>
          <w:sz w:val="24"/>
          <w:szCs w:val="24"/>
        </w:rPr>
        <w:t>aniel</w:t>
      </w:r>
      <w:r w:rsidRPr="00A15BFA">
        <w:rPr>
          <w:rFonts w:ascii="Arial" w:hAnsi="Arial" w:cs="Arial"/>
          <w:sz w:val="24"/>
          <w:szCs w:val="24"/>
        </w:rPr>
        <w:t xml:space="preserve"> Cimbora,</w:t>
      </w:r>
      <w:r>
        <w:rPr>
          <w:rFonts w:ascii="Arial" w:hAnsi="Arial" w:cs="Arial"/>
          <w:sz w:val="24"/>
          <w:szCs w:val="24"/>
        </w:rPr>
        <w:t xml:space="preserve"> PhD;</w:t>
      </w:r>
      <w:r w:rsidRPr="00A15BFA">
        <w:rPr>
          <w:rFonts w:ascii="Arial" w:hAnsi="Arial" w:cs="Arial"/>
          <w:sz w:val="24"/>
          <w:szCs w:val="24"/>
          <w:vertAlign w:val="superscript"/>
        </w:rPr>
        <w:t>3</w:t>
      </w:r>
      <w:r w:rsidRPr="00A15BFA">
        <w:rPr>
          <w:rFonts w:ascii="Arial" w:hAnsi="Arial" w:cs="Arial"/>
          <w:sz w:val="24"/>
          <w:szCs w:val="24"/>
        </w:rPr>
        <w:t xml:space="preserve"> </w:t>
      </w:r>
      <w:r w:rsidRPr="003123D7">
        <w:rPr>
          <w:rFonts w:ascii="Arial" w:hAnsi="Arial" w:cs="Arial"/>
          <w:sz w:val="24"/>
          <w:szCs w:val="24"/>
        </w:rPr>
        <w:t>M</w:t>
      </w:r>
      <w:r>
        <w:rPr>
          <w:rFonts w:ascii="Arial" w:hAnsi="Arial" w:cs="Arial"/>
          <w:sz w:val="24"/>
          <w:szCs w:val="24"/>
        </w:rPr>
        <w:t xml:space="preserve">ichael </w:t>
      </w:r>
      <w:r w:rsidRPr="003123D7">
        <w:rPr>
          <w:rFonts w:ascii="Arial" w:hAnsi="Arial" w:cs="Arial"/>
          <w:sz w:val="24"/>
          <w:szCs w:val="24"/>
        </w:rPr>
        <w:t>A. Smith</w:t>
      </w:r>
      <w:r>
        <w:rPr>
          <w:rFonts w:ascii="Arial" w:hAnsi="Arial" w:cs="Arial"/>
          <w:sz w:val="24"/>
          <w:szCs w:val="24"/>
        </w:rPr>
        <w:t>, PhD;</w:t>
      </w:r>
      <w:r>
        <w:rPr>
          <w:rFonts w:ascii="Arial" w:hAnsi="Arial" w:cs="Arial"/>
          <w:sz w:val="24"/>
          <w:szCs w:val="24"/>
          <w:vertAlign w:val="superscript"/>
        </w:rPr>
        <w:t>3</w:t>
      </w:r>
      <w:r w:rsidRPr="003123D7">
        <w:rPr>
          <w:rFonts w:ascii="Arial" w:hAnsi="Arial" w:cs="Arial"/>
          <w:sz w:val="24"/>
          <w:szCs w:val="24"/>
        </w:rPr>
        <w:t xml:space="preserve"> </w:t>
      </w:r>
      <w:bookmarkStart w:id="0" w:name="OLE_LINK1"/>
      <w:r w:rsidRPr="00C04138">
        <w:rPr>
          <w:rFonts w:ascii="Arial" w:hAnsi="Arial" w:cs="Arial"/>
          <w:sz w:val="24"/>
          <w:szCs w:val="24"/>
        </w:rPr>
        <w:t>N</w:t>
      </w:r>
      <w:r>
        <w:rPr>
          <w:rFonts w:ascii="Arial" w:hAnsi="Arial" w:cs="Arial"/>
          <w:sz w:val="24"/>
          <w:szCs w:val="24"/>
        </w:rPr>
        <w:t xml:space="preserve">anette </w:t>
      </w:r>
      <w:r w:rsidRPr="00C04138">
        <w:rPr>
          <w:rFonts w:ascii="Arial" w:hAnsi="Arial" w:cs="Arial"/>
          <w:sz w:val="24"/>
          <w:szCs w:val="24"/>
        </w:rPr>
        <w:t>Mittereder</w:t>
      </w:r>
      <w:bookmarkEnd w:id="0"/>
      <w:r>
        <w:rPr>
          <w:rFonts w:ascii="Arial" w:hAnsi="Arial" w:cs="Arial"/>
          <w:sz w:val="24"/>
          <w:szCs w:val="24"/>
        </w:rPr>
        <w:t>, MS;</w:t>
      </w:r>
      <w:r>
        <w:rPr>
          <w:rFonts w:ascii="Arial" w:hAnsi="Arial" w:cs="Arial"/>
          <w:sz w:val="24"/>
          <w:szCs w:val="24"/>
          <w:vertAlign w:val="superscript"/>
        </w:rPr>
        <w:t>3</w:t>
      </w:r>
      <w:r>
        <w:t xml:space="preserve"> </w:t>
      </w:r>
      <w:r w:rsidRPr="003123D7">
        <w:rPr>
          <w:rFonts w:ascii="Arial" w:hAnsi="Arial" w:cs="Arial"/>
          <w:sz w:val="24"/>
          <w:szCs w:val="24"/>
        </w:rPr>
        <w:t>W</w:t>
      </w:r>
      <w:r>
        <w:rPr>
          <w:rFonts w:ascii="Arial" w:hAnsi="Arial" w:cs="Arial"/>
          <w:sz w:val="24"/>
          <w:szCs w:val="24"/>
        </w:rPr>
        <w:t xml:space="preserve">illiam </w:t>
      </w:r>
      <w:r w:rsidRPr="003123D7">
        <w:rPr>
          <w:rFonts w:ascii="Arial" w:hAnsi="Arial" w:cs="Arial"/>
          <w:sz w:val="24"/>
          <w:szCs w:val="24"/>
        </w:rPr>
        <w:t>A. Rees</w:t>
      </w:r>
      <w:r>
        <w:rPr>
          <w:rFonts w:ascii="Arial" w:hAnsi="Arial" w:cs="Arial"/>
          <w:sz w:val="24"/>
          <w:szCs w:val="24"/>
        </w:rPr>
        <w:t>, MD;</w:t>
      </w:r>
      <w:r>
        <w:rPr>
          <w:rFonts w:ascii="Arial" w:hAnsi="Arial" w:cs="Arial"/>
          <w:sz w:val="24"/>
          <w:szCs w:val="24"/>
          <w:vertAlign w:val="superscript"/>
        </w:rPr>
        <w:t>3</w:t>
      </w:r>
      <w:r w:rsidRPr="003123D7">
        <w:rPr>
          <w:rFonts w:ascii="Arial" w:hAnsi="Arial" w:cs="Arial"/>
          <w:sz w:val="24"/>
          <w:szCs w:val="24"/>
        </w:rPr>
        <w:t xml:space="preserve"> D</w:t>
      </w:r>
      <w:r>
        <w:rPr>
          <w:rFonts w:ascii="Arial" w:hAnsi="Arial" w:cs="Arial"/>
          <w:sz w:val="24"/>
          <w:szCs w:val="24"/>
        </w:rPr>
        <w:t>ewei</w:t>
      </w:r>
      <w:r w:rsidRPr="003123D7">
        <w:rPr>
          <w:rFonts w:ascii="Arial" w:hAnsi="Arial" w:cs="Arial"/>
          <w:sz w:val="24"/>
          <w:szCs w:val="24"/>
        </w:rPr>
        <w:t xml:space="preserve"> She</w:t>
      </w:r>
      <w:r>
        <w:rPr>
          <w:rFonts w:ascii="Arial" w:hAnsi="Arial" w:cs="Arial"/>
          <w:sz w:val="24"/>
          <w:szCs w:val="24"/>
        </w:rPr>
        <w:t>, PhD;</w:t>
      </w:r>
      <w:r>
        <w:rPr>
          <w:rFonts w:ascii="Arial" w:hAnsi="Arial" w:cs="Arial"/>
          <w:sz w:val="24"/>
          <w:szCs w:val="24"/>
          <w:vertAlign w:val="superscript"/>
        </w:rPr>
        <w:t>3</w:t>
      </w:r>
      <w:r w:rsidRPr="003123D7">
        <w:rPr>
          <w:rFonts w:ascii="Arial" w:hAnsi="Arial" w:cs="Arial"/>
          <w:sz w:val="24"/>
          <w:szCs w:val="24"/>
        </w:rPr>
        <w:t xml:space="preserve"> B</w:t>
      </w:r>
      <w:r>
        <w:rPr>
          <w:rFonts w:ascii="Arial" w:hAnsi="Arial" w:cs="Arial"/>
          <w:sz w:val="24"/>
          <w:szCs w:val="24"/>
        </w:rPr>
        <w:t xml:space="preserve">ruce </w:t>
      </w:r>
      <w:r w:rsidRPr="003123D7">
        <w:rPr>
          <w:rFonts w:ascii="Arial" w:hAnsi="Arial" w:cs="Arial"/>
          <w:sz w:val="24"/>
          <w:szCs w:val="24"/>
        </w:rPr>
        <w:t>A.C. Cree</w:t>
      </w:r>
      <w:r>
        <w:rPr>
          <w:rFonts w:ascii="Arial" w:hAnsi="Arial" w:cs="Arial"/>
          <w:sz w:val="24"/>
          <w:szCs w:val="24"/>
        </w:rPr>
        <w:t xml:space="preserve">, </w:t>
      </w:r>
      <w:r w:rsidRPr="00B02493">
        <w:rPr>
          <w:rFonts w:ascii="Arial" w:hAnsi="Arial" w:cs="Arial"/>
          <w:sz w:val="24"/>
          <w:szCs w:val="24"/>
        </w:rPr>
        <w:t>MD, PhD, MAS</w:t>
      </w:r>
      <w:r>
        <w:rPr>
          <w:rFonts w:ascii="Arial" w:hAnsi="Arial" w:cs="Arial"/>
          <w:sz w:val="24"/>
          <w:szCs w:val="24"/>
          <w:vertAlign w:val="superscript"/>
        </w:rPr>
        <w:t>12</w:t>
      </w:r>
      <w:r w:rsidRPr="003123D7">
        <w:rPr>
          <w:rFonts w:ascii="Arial" w:hAnsi="Arial" w:cs="Arial"/>
          <w:sz w:val="24"/>
          <w:szCs w:val="24"/>
        </w:rPr>
        <w:t xml:space="preserve"> </w:t>
      </w:r>
    </w:p>
    <w:p w14:paraId="42B9EBCC" w14:textId="7B24AF6A" w:rsidR="004A0730" w:rsidRDefault="004A0730" w:rsidP="004A0730">
      <w:pPr>
        <w:spacing w:after="0" w:line="480" w:lineRule="auto"/>
        <w:rPr>
          <w:rFonts w:ascii="Arial" w:hAnsi="Arial" w:cs="Arial"/>
          <w:sz w:val="24"/>
          <w:szCs w:val="24"/>
        </w:rPr>
      </w:pPr>
    </w:p>
    <w:p w14:paraId="11DF9390" w14:textId="329DDEA7" w:rsidR="004A0730" w:rsidRDefault="004A0730" w:rsidP="004A0730">
      <w:pPr>
        <w:spacing w:line="480" w:lineRule="auto"/>
        <w:rPr>
          <w:rFonts w:ascii="Arial" w:hAnsi="Arial" w:cs="Arial"/>
          <w:b/>
          <w:bCs/>
          <w:sz w:val="24"/>
          <w:szCs w:val="24"/>
        </w:rPr>
      </w:pPr>
      <w:r>
        <w:rPr>
          <w:rFonts w:ascii="Arial" w:hAnsi="Arial" w:cs="Arial"/>
          <w:b/>
          <w:bCs/>
          <w:sz w:val="24"/>
          <w:szCs w:val="24"/>
        </w:rPr>
        <w:t>Supplementary M</w:t>
      </w:r>
      <w:r>
        <w:rPr>
          <w:rFonts w:ascii="Arial" w:hAnsi="Arial" w:cs="Arial"/>
          <w:b/>
          <w:bCs/>
          <w:sz w:val="24"/>
          <w:szCs w:val="24"/>
        </w:rPr>
        <w:t>ethods</w:t>
      </w:r>
    </w:p>
    <w:p w14:paraId="216243E7" w14:textId="6416204F" w:rsidR="004A0730" w:rsidRPr="004A0730" w:rsidRDefault="004A0730" w:rsidP="004A0730">
      <w:pPr>
        <w:spacing w:line="480" w:lineRule="auto"/>
        <w:ind w:firstLine="720"/>
        <w:rPr>
          <w:rFonts w:ascii="Arial" w:hAnsi="Arial" w:cs="Arial"/>
          <w:sz w:val="24"/>
          <w:szCs w:val="24"/>
        </w:rPr>
      </w:pPr>
      <w:r w:rsidRPr="004A0730">
        <w:rPr>
          <w:rFonts w:ascii="Arial" w:hAnsi="Arial" w:cs="Arial"/>
          <w:sz w:val="24"/>
          <w:szCs w:val="24"/>
        </w:rPr>
        <w:t xml:space="preserve">Polymorphism genotyping utilized whole blood samples collected at the </w:t>
      </w:r>
      <w:r w:rsidR="00B14822">
        <w:rPr>
          <w:rFonts w:ascii="Arial" w:hAnsi="Arial" w:cs="Arial"/>
          <w:sz w:val="24"/>
          <w:szCs w:val="24"/>
        </w:rPr>
        <w:t>b</w:t>
      </w:r>
      <w:r w:rsidRPr="004A0730">
        <w:rPr>
          <w:rFonts w:ascii="Arial" w:hAnsi="Arial" w:cs="Arial"/>
          <w:sz w:val="24"/>
          <w:szCs w:val="24"/>
        </w:rPr>
        <w:t xml:space="preserve">aseline visit to isolate whole blood DNA. 142 NMOSD participants who provided consent for genetic analysis were genotyped for the </w:t>
      </w:r>
      <w:r w:rsidR="00C47780" w:rsidRPr="00D93D32">
        <w:rPr>
          <w:rFonts w:ascii="Arial" w:hAnsi="Arial" w:cs="Arial"/>
          <w:i/>
          <w:iCs/>
          <w:sz w:val="24"/>
          <w:szCs w:val="24"/>
        </w:rPr>
        <w:t>FCGR3A</w:t>
      </w:r>
      <w:r w:rsidRPr="004A0730">
        <w:rPr>
          <w:rFonts w:ascii="Arial" w:hAnsi="Arial" w:cs="Arial"/>
          <w:sz w:val="24"/>
          <w:szCs w:val="24"/>
        </w:rPr>
        <w:t xml:space="preserve"> polymorphism via a TaqMan SNP Genotyping Assay (ThermoFisher Assay ID: </w:t>
      </w:r>
      <w:r w:rsidRPr="004A0730">
        <w:rPr>
          <w:rFonts w:ascii="Arial" w:hAnsi="Arial" w:cs="Arial"/>
          <w:sz w:val="24"/>
          <w:szCs w:val="24"/>
          <w:shd w:val="clear" w:color="auto" w:fill="FFFFFF"/>
        </w:rPr>
        <w:t>C__25815666_10).</w:t>
      </w:r>
      <w:r w:rsidRPr="004A0730">
        <w:rPr>
          <w:rFonts w:ascii="Arial" w:hAnsi="Arial" w:cs="Arial"/>
          <w:sz w:val="24"/>
          <w:szCs w:val="24"/>
        </w:rPr>
        <w:t xml:space="preserve"> Genotype calls were deemed high quality (&gt; 99%) for 140 out of 142 samples in the initial analysis. </w:t>
      </w:r>
      <w:r w:rsidR="004D65D9">
        <w:rPr>
          <w:rFonts w:ascii="Arial" w:hAnsi="Arial" w:cs="Arial"/>
          <w:sz w:val="24"/>
          <w:szCs w:val="24"/>
        </w:rPr>
        <w:t>Two</w:t>
      </w:r>
      <w:r w:rsidRPr="004A0730">
        <w:rPr>
          <w:rFonts w:ascii="Arial" w:hAnsi="Arial" w:cs="Arial"/>
          <w:sz w:val="24"/>
          <w:szCs w:val="24"/>
        </w:rPr>
        <w:t xml:space="preserve"> samples with low quality calls were rerun a second time with</w:t>
      </w:r>
      <w:r w:rsidR="00A83BC6">
        <w:rPr>
          <w:rFonts w:ascii="Arial" w:hAnsi="Arial" w:cs="Arial"/>
          <w:sz w:val="24"/>
          <w:szCs w:val="24"/>
        </w:rPr>
        <w:t xml:space="preserve"> resulting</w:t>
      </w:r>
      <w:r w:rsidRPr="004A0730">
        <w:rPr>
          <w:rFonts w:ascii="Arial" w:hAnsi="Arial" w:cs="Arial"/>
          <w:sz w:val="24"/>
          <w:szCs w:val="24"/>
        </w:rPr>
        <w:t xml:space="preserve"> high quality genotype calls (&gt;99%).  </w:t>
      </w:r>
    </w:p>
    <w:p w14:paraId="6D738694" w14:textId="17BDBB09" w:rsidR="004A0730" w:rsidRPr="004A0730" w:rsidRDefault="004A0730" w:rsidP="004A0730">
      <w:pPr>
        <w:spacing w:line="480" w:lineRule="auto"/>
        <w:rPr>
          <w:rFonts w:ascii="Arial" w:hAnsi="Arial" w:cs="Arial"/>
          <w:b/>
          <w:bCs/>
          <w:sz w:val="24"/>
          <w:szCs w:val="24"/>
        </w:rPr>
      </w:pPr>
      <w:r w:rsidRPr="004A0730">
        <w:rPr>
          <w:rFonts w:ascii="Arial" w:hAnsi="Arial" w:cs="Arial"/>
          <w:sz w:val="24"/>
          <w:szCs w:val="24"/>
        </w:rPr>
        <w:t xml:space="preserve">To further validate the reproducibility of the assay, 6 reference samples were run as 4 technical replicates with 100% agreement of genotype calls across all replicates for all samples. Finally, to examine accuracy of the TaqMan assay, Sanger sequencing was performed in parallel on a subset of 28 samples. For 24/28 samples, the Sanger </w:t>
      </w:r>
      <w:r w:rsidRPr="004A0730">
        <w:rPr>
          <w:rFonts w:ascii="Arial" w:hAnsi="Arial" w:cs="Arial"/>
          <w:sz w:val="24"/>
          <w:szCs w:val="24"/>
        </w:rPr>
        <w:lastRenderedPageBreak/>
        <w:t>sequencing result agreed with the TaqMan result. In the cases where the genotype call obtained from Sanger sequencing differed from that of the TaqMan assay, the Sanger result was carried forward for statistical analysis.</w:t>
      </w:r>
      <w:r w:rsidRPr="004A0730">
        <w:rPr>
          <w:rFonts w:ascii="Arial" w:hAnsi="Arial" w:cs="Arial"/>
          <w:sz w:val="24"/>
          <w:szCs w:val="24"/>
        </w:rPr>
        <w:t xml:space="preserve"> </w:t>
      </w:r>
      <w:r w:rsidRPr="004A0730">
        <w:rPr>
          <w:rFonts w:ascii="Arial" w:hAnsi="Arial" w:cs="Arial"/>
          <w:sz w:val="24"/>
          <w:szCs w:val="24"/>
        </w:rPr>
        <w:t>No significant departure in allele frequencies from Hardy-Weinberg equilibrium was observed</w:t>
      </w:r>
      <w:r w:rsidR="007D5397">
        <w:rPr>
          <w:rFonts w:ascii="Arial" w:hAnsi="Arial" w:cs="Arial"/>
          <w:sz w:val="24"/>
          <w:szCs w:val="24"/>
        </w:rPr>
        <w:t>.</w:t>
      </w:r>
    </w:p>
    <w:p w14:paraId="496A6633" w14:textId="77777777" w:rsidR="004A0730" w:rsidRDefault="004A0730" w:rsidP="004A0730">
      <w:pPr>
        <w:spacing w:after="0" w:line="480" w:lineRule="auto"/>
        <w:rPr>
          <w:rFonts w:ascii="Arial" w:hAnsi="Arial" w:cs="Arial"/>
          <w:sz w:val="24"/>
          <w:szCs w:val="24"/>
        </w:rPr>
      </w:pPr>
    </w:p>
    <w:p w14:paraId="6793BAF9" w14:textId="77777777" w:rsidR="004A0730" w:rsidRDefault="004A0730" w:rsidP="004A0730">
      <w:pPr>
        <w:spacing w:after="0" w:line="480" w:lineRule="auto"/>
        <w:rPr>
          <w:rFonts w:ascii="Arial" w:hAnsi="Arial" w:cs="Arial"/>
          <w:sz w:val="24"/>
          <w:szCs w:val="24"/>
        </w:rPr>
      </w:pPr>
    </w:p>
    <w:p w14:paraId="318B309E" w14:textId="77777777" w:rsidR="00E7674C" w:rsidRDefault="00E7674C"/>
    <w:sectPr w:rsidR="00E76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30"/>
    <w:rsid w:val="004A0730"/>
    <w:rsid w:val="004D65D9"/>
    <w:rsid w:val="007D5397"/>
    <w:rsid w:val="00A83BC6"/>
    <w:rsid w:val="00B14822"/>
    <w:rsid w:val="00C47780"/>
    <w:rsid w:val="00E7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73E"/>
  <w15:chartTrackingRefBased/>
  <w15:docId w15:val="{1F6D7E39-E057-4135-BAA8-6B34E612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Cohen</dc:creator>
  <cp:keywords/>
  <dc:description/>
  <cp:lastModifiedBy>Amy Cohen</cp:lastModifiedBy>
  <cp:revision>6</cp:revision>
  <dcterms:created xsi:type="dcterms:W3CDTF">2023-07-12T19:57:00Z</dcterms:created>
  <dcterms:modified xsi:type="dcterms:W3CDTF">2023-07-12T20:19:00Z</dcterms:modified>
</cp:coreProperties>
</file>