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1D76B" w14:textId="57B57871" w:rsidR="00394ACA" w:rsidRPr="00394ACA" w:rsidRDefault="002A63C4" w:rsidP="00394ACA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SDC, </w:t>
      </w:r>
      <w:r w:rsidR="00394ACA" w:rsidRPr="00394ACA">
        <w:rPr>
          <w:rFonts w:ascii="Arial" w:hAnsi="Arial" w:cs="Arial"/>
          <w:b/>
          <w:bCs/>
          <w:sz w:val="22"/>
          <w:szCs w:val="22"/>
        </w:rPr>
        <w:t>Methods</w:t>
      </w:r>
    </w:p>
    <w:p w14:paraId="7B01F444" w14:textId="77777777" w:rsidR="00394ACA" w:rsidRPr="00394ACA" w:rsidRDefault="00394ACA" w:rsidP="00394ACA">
      <w:pPr>
        <w:rPr>
          <w:rFonts w:ascii="Arial" w:hAnsi="Arial" w:cs="Arial"/>
          <w:b/>
          <w:bCs/>
          <w:sz w:val="22"/>
          <w:szCs w:val="22"/>
        </w:rPr>
      </w:pPr>
    </w:p>
    <w:p w14:paraId="654F694E" w14:textId="68D2DA5C" w:rsidR="00394ACA" w:rsidRPr="00E54FBA" w:rsidRDefault="00394ACA" w:rsidP="00394ACA">
      <w:pPr>
        <w:spacing w:line="480" w:lineRule="auto"/>
        <w:jc w:val="both"/>
        <w:rPr>
          <w:color w:val="000000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Lasso model: </w:t>
      </w:r>
      <w:r w:rsidRPr="00E54FBA">
        <w:rPr>
          <w:rFonts w:ascii="Arial" w:hAnsi="Arial" w:cs="Arial"/>
          <w:i/>
          <w:iCs/>
          <w:color w:val="000000"/>
          <w:sz w:val="22"/>
          <w:szCs w:val="22"/>
        </w:rPr>
        <w:t>‘</w:t>
      </w:r>
      <w:r w:rsidR="002B384E" w:rsidRPr="00E54FBA">
        <w:rPr>
          <w:rFonts w:ascii="Arial" w:hAnsi="Arial" w:cs="Arial"/>
          <w:i/>
          <w:iCs/>
          <w:color w:val="000000"/>
          <w:sz w:val="22"/>
          <w:szCs w:val="22"/>
        </w:rPr>
        <w:t>HR</w:t>
      </w:r>
      <w:r w:rsidR="002B384E">
        <w:rPr>
          <w:rFonts w:ascii="Arial" w:hAnsi="Arial" w:cs="Arial"/>
          <w:i/>
          <w:iCs/>
          <w:color w:val="000000"/>
          <w:sz w:val="22"/>
          <w:szCs w:val="22"/>
        </w:rPr>
        <w:t xml:space="preserve"> balancer</w:t>
      </w:r>
      <w:r w:rsidR="002B384E" w:rsidRPr="00E54FBA">
        <w:rPr>
          <w:rFonts w:ascii="Arial" w:hAnsi="Arial" w:cs="Arial"/>
          <w:i/>
          <w:iCs/>
          <w:color w:val="000000"/>
          <w:sz w:val="22"/>
          <w:szCs w:val="22"/>
        </w:rPr>
        <w:t>’</w:t>
      </w:r>
      <w:r w:rsidR="002B384E">
        <w:rPr>
          <w:rFonts w:ascii="Arial" w:hAnsi="Arial" w:cs="Arial"/>
          <w:i/>
          <w:iCs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color w:val="000000"/>
          <w:sz w:val="22"/>
          <w:szCs w:val="22"/>
        </w:rPr>
        <w:t>’PRE</w:t>
      </w:r>
      <w:r w:rsidR="002B384E">
        <w:rPr>
          <w:rFonts w:ascii="Arial" w:hAnsi="Arial" w:cs="Arial"/>
          <w:i/>
          <w:iCs/>
          <w:color w:val="000000"/>
          <w:sz w:val="22"/>
          <w:szCs w:val="22"/>
        </w:rPr>
        <w:t xml:space="preserve"> balancer</w:t>
      </w:r>
      <w:r>
        <w:rPr>
          <w:rFonts w:ascii="Arial" w:hAnsi="Arial" w:cs="Arial"/>
          <w:i/>
          <w:iCs/>
          <w:color w:val="000000"/>
          <w:sz w:val="22"/>
          <w:szCs w:val="22"/>
        </w:rPr>
        <w:t>’</w:t>
      </w:r>
      <w:r w:rsidR="002B384E">
        <w:rPr>
          <w:rFonts w:ascii="Arial" w:hAnsi="Arial" w:cs="Arial"/>
          <w:i/>
          <w:iCs/>
          <w:color w:val="000000"/>
          <w:sz w:val="22"/>
          <w:szCs w:val="22"/>
        </w:rPr>
        <w:t xml:space="preserve"> and ‘HR_interaction’</w:t>
      </w:r>
      <w:r w:rsidRPr="00E54FBA">
        <w:rPr>
          <w:rFonts w:ascii="Arial" w:hAnsi="Arial" w:cs="Arial"/>
          <w:i/>
          <w:iCs/>
          <w:color w:val="000000"/>
          <w:sz w:val="22"/>
          <w:szCs w:val="22"/>
        </w:rPr>
        <w:t xml:space="preserve"> development</w:t>
      </w:r>
    </w:p>
    <w:p w14:paraId="1504D116" w14:textId="6024C513" w:rsidR="00394ACA" w:rsidRDefault="000E776D" w:rsidP="00394ACA">
      <w:pPr>
        <w:jc w:val="both"/>
        <w:rPr>
          <w:rFonts w:ascii="Arial" w:hAnsi="Arial" w:cs="Arial"/>
          <w:sz w:val="22"/>
          <w:szCs w:val="22"/>
        </w:rPr>
      </w:pPr>
      <w:r w:rsidRPr="000E776D">
        <w:rPr>
          <w:rFonts w:ascii="Arial" w:hAnsi="Arial" w:cs="Arial"/>
          <w:sz w:val="22"/>
          <w:szCs w:val="22"/>
        </w:rPr>
        <w:t>Lasso (least absolute shrinkage and selection operator</w:t>
      </w:r>
      <w:r>
        <w:rPr>
          <w:rFonts w:ascii="Arial" w:hAnsi="Arial" w:cs="Arial"/>
          <w:sz w:val="22"/>
          <w:szCs w:val="22"/>
        </w:rPr>
        <w:t xml:space="preserve">) models were calculated using the “glmnet” R package (Version 4.1-3). </w:t>
      </w:r>
      <w:r w:rsidR="00915AD4">
        <w:rPr>
          <w:rFonts w:ascii="Arial" w:hAnsi="Arial" w:cs="Arial"/>
          <w:sz w:val="22"/>
          <w:szCs w:val="22"/>
        </w:rPr>
        <w:t xml:space="preserve">Glmnet uses a </w:t>
      </w:r>
      <w:r w:rsidR="00A83856">
        <w:rPr>
          <w:rFonts w:ascii="Arial" w:hAnsi="Arial" w:cs="Arial"/>
          <w:sz w:val="22"/>
          <w:szCs w:val="22"/>
        </w:rPr>
        <w:t xml:space="preserve">cross-validated </w:t>
      </w:r>
      <w:r w:rsidR="00915AD4">
        <w:rPr>
          <w:rFonts w:ascii="Arial" w:hAnsi="Arial" w:cs="Arial"/>
          <w:sz w:val="22"/>
          <w:szCs w:val="22"/>
        </w:rPr>
        <w:t xml:space="preserve">regularized Cox regression analysis to identify variables with significant association with an observed outcome, in this case progression-free survival. </w:t>
      </w:r>
      <w:r w:rsidR="00A83856">
        <w:rPr>
          <w:rFonts w:ascii="Arial" w:hAnsi="Arial" w:cs="Arial"/>
          <w:sz w:val="22"/>
          <w:szCs w:val="22"/>
        </w:rPr>
        <w:t xml:space="preserve">For variables with significant association with PFS, a coefficient is returned to weigh this variable in comparison with other associated variables (the higher the coefficient, the </w:t>
      </w:r>
      <w:r w:rsidR="00137CA3">
        <w:rPr>
          <w:rFonts w:ascii="Arial" w:hAnsi="Arial" w:cs="Arial"/>
          <w:sz w:val="22"/>
          <w:szCs w:val="22"/>
        </w:rPr>
        <w:t xml:space="preserve">stronger the association with the outcome). Variables without significant association are not given a coefficient. Using all significantly associated variables with their respective coefficient, a patient-specific risk score for progression can be calculated. </w:t>
      </w:r>
    </w:p>
    <w:p w14:paraId="7DA95CFD" w14:textId="435DA72A" w:rsidR="00137CA3" w:rsidRDefault="00137CA3" w:rsidP="00394AC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calculated three models for PFS:</w:t>
      </w:r>
    </w:p>
    <w:p w14:paraId="7AE2BCC3" w14:textId="7C0FFACC" w:rsidR="00137CA3" w:rsidRDefault="00137CA3" w:rsidP="00137CA3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‘HR </w:t>
      </w:r>
      <w:r w:rsidR="002B384E">
        <w:rPr>
          <w:rFonts w:ascii="Arial" w:hAnsi="Arial" w:cs="Arial"/>
          <w:sz w:val="22"/>
          <w:szCs w:val="22"/>
        </w:rPr>
        <w:t>balancer</w:t>
      </w:r>
      <w:r>
        <w:rPr>
          <w:rFonts w:ascii="Arial" w:hAnsi="Arial" w:cs="Arial"/>
          <w:sz w:val="22"/>
          <w:szCs w:val="22"/>
        </w:rPr>
        <w:t>’ model included all variables with p &lt;0.1 in univariable Cox regression analysis for PFS</w:t>
      </w:r>
      <w:r w:rsidR="009955D7">
        <w:rPr>
          <w:rFonts w:ascii="Arial" w:hAnsi="Arial" w:cs="Arial"/>
          <w:sz w:val="22"/>
          <w:szCs w:val="22"/>
        </w:rPr>
        <w:t xml:space="preserve">, except CAR-T product, as we aimed to identify product-independent </w:t>
      </w:r>
      <w:proofErr w:type="gramStart"/>
      <w:r w:rsidR="009955D7">
        <w:rPr>
          <w:rFonts w:ascii="Arial" w:hAnsi="Arial" w:cs="Arial"/>
          <w:sz w:val="22"/>
          <w:szCs w:val="22"/>
        </w:rPr>
        <w:t>variables</w:t>
      </w:r>
      <w:proofErr w:type="gramEnd"/>
    </w:p>
    <w:p w14:paraId="4C787798" w14:textId="2A7FB0C7" w:rsidR="00137CA3" w:rsidRDefault="00137CA3" w:rsidP="00137CA3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‘P</w:t>
      </w:r>
      <w:r w:rsidR="002B384E">
        <w:rPr>
          <w:rFonts w:ascii="Arial" w:hAnsi="Arial" w:cs="Arial"/>
          <w:sz w:val="22"/>
          <w:szCs w:val="22"/>
        </w:rPr>
        <w:t>RE</w:t>
      </w:r>
      <w:r>
        <w:rPr>
          <w:rFonts w:ascii="Arial" w:hAnsi="Arial" w:cs="Arial"/>
          <w:sz w:val="22"/>
          <w:szCs w:val="22"/>
        </w:rPr>
        <w:t xml:space="preserve"> </w:t>
      </w:r>
      <w:r w:rsidR="002B384E">
        <w:rPr>
          <w:rFonts w:ascii="Arial" w:hAnsi="Arial" w:cs="Arial"/>
          <w:sz w:val="22"/>
          <w:szCs w:val="22"/>
        </w:rPr>
        <w:t xml:space="preserve">balancer’ </w:t>
      </w:r>
      <w:r>
        <w:rPr>
          <w:rFonts w:ascii="Arial" w:hAnsi="Arial" w:cs="Arial"/>
          <w:sz w:val="22"/>
          <w:szCs w:val="22"/>
        </w:rPr>
        <w:t xml:space="preserve">model included all variables with p &lt;0.1 in univariable Cox regression analysis for PFS </w:t>
      </w:r>
      <w:r>
        <w:rPr>
          <w:rFonts w:ascii="Arial" w:hAnsi="Arial" w:cs="Arial"/>
          <w:i/>
          <w:iCs/>
          <w:sz w:val="22"/>
          <w:szCs w:val="22"/>
        </w:rPr>
        <w:t>that were available at the ‘indication’ timepoint</w:t>
      </w:r>
      <w:r>
        <w:rPr>
          <w:rFonts w:ascii="Arial" w:hAnsi="Arial" w:cs="Arial"/>
          <w:sz w:val="22"/>
          <w:szCs w:val="22"/>
        </w:rPr>
        <w:t xml:space="preserve">, prior to any CAR-T specific procedures like apheresis, holding or bridging </w:t>
      </w:r>
      <w:proofErr w:type="gramStart"/>
      <w:r>
        <w:rPr>
          <w:rFonts w:ascii="Arial" w:hAnsi="Arial" w:cs="Arial"/>
          <w:sz w:val="22"/>
          <w:szCs w:val="22"/>
        </w:rPr>
        <w:t>therapy</w:t>
      </w:r>
      <w:proofErr w:type="gramEnd"/>
    </w:p>
    <w:p w14:paraId="245F4AD4" w14:textId="3CB41069" w:rsidR="00137CA3" w:rsidRDefault="00137CA3" w:rsidP="00137CA3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confirmatory model was calculated incorporating the ‘HR </w:t>
      </w:r>
      <w:r w:rsidR="002B384E">
        <w:rPr>
          <w:rFonts w:ascii="Arial" w:hAnsi="Arial" w:cs="Arial"/>
          <w:sz w:val="22"/>
          <w:szCs w:val="22"/>
        </w:rPr>
        <w:t>balancer</w:t>
      </w:r>
      <w:r>
        <w:rPr>
          <w:rFonts w:ascii="Arial" w:hAnsi="Arial" w:cs="Arial"/>
          <w:sz w:val="22"/>
          <w:szCs w:val="22"/>
        </w:rPr>
        <w:t xml:space="preserve">’ </w:t>
      </w:r>
      <w:r w:rsidR="009955D7">
        <w:rPr>
          <w:rFonts w:ascii="Arial" w:hAnsi="Arial" w:cs="Arial"/>
          <w:sz w:val="22"/>
          <w:szCs w:val="22"/>
        </w:rPr>
        <w:t xml:space="preserve">(and consequently excluding all variables that were already used to calculate the ‘HR </w:t>
      </w:r>
      <w:r w:rsidR="002B384E">
        <w:rPr>
          <w:rFonts w:ascii="Arial" w:hAnsi="Arial" w:cs="Arial"/>
          <w:sz w:val="22"/>
          <w:szCs w:val="22"/>
        </w:rPr>
        <w:t>balancer</w:t>
      </w:r>
      <w:r w:rsidR="009955D7">
        <w:rPr>
          <w:rFonts w:ascii="Arial" w:hAnsi="Arial" w:cs="Arial"/>
          <w:sz w:val="22"/>
          <w:szCs w:val="22"/>
        </w:rPr>
        <w:t>’) and the CAR-T product to identify ‘HR</w:t>
      </w:r>
      <w:r w:rsidR="002B384E">
        <w:rPr>
          <w:rFonts w:ascii="Arial" w:hAnsi="Arial" w:cs="Arial"/>
          <w:sz w:val="22"/>
          <w:szCs w:val="22"/>
        </w:rPr>
        <w:t xml:space="preserve"> balancer</w:t>
      </w:r>
      <w:r w:rsidR="002B384E" w:rsidDel="002B384E">
        <w:rPr>
          <w:rFonts w:ascii="Arial" w:hAnsi="Arial" w:cs="Arial"/>
          <w:sz w:val="22"/>
          <w:szCs w:val="22"/>
        </w:rPr>
        <w:t xml:space="preserve"> </w:t>
      </w:r>
      <w:r w:rsidR="009955D7">
        <w:rPr>
          <w:rFonts w:ascii="Arial" w:hAnsi="Arial" w:cs="Arial"/>
          <w:sz w:val="22"/>
          <w:szCs w:val="22"/>
        </w:rPr>
        <w:t xml:space="preserve">-corrected variables with significant influence on PFS. </w:t>
      </w:r>
    </w:p>
    <w:p w14:paraId="1C8CB223" w14:textId="19F31DED" w:rsidR="002B384E" w:rsidRPr="00137CA3" w:rsidRDefault="002B384E" w:rsidP="00137CA3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Additionally, a model incorporating potential interactions between variables (‘HR_interaction’) was calculated. This model included all variables from the ‘HR balancer’ dataset, </w:t>
      </w:r>
      <w:r w:rsidR="009621BC">
        <w:rPr>
          <w:rFonts w:ascii="Arial" w:hAnsi="Arial" w:cs="Arial"/>
          <w:sz w:val="22"/>
          <w:szCs w:val="22"/>
        </w:rPr>
        <w:t>supplemented by CAR-T product (Tisa-cel vs. Axi-cel)</w:t>
      </w:r>
      <w:r>
        <w:rPr>
          <w:rFonts w:ascii="Arial" w:hAnsi="Arial" w:cs="Arial"/>
          <w:sz w:val="22"/>
          <w:szCs w:val="22"/>
        </w:rPr>
        <w:t xml:space="preserve">. Interactions between </w:t>
      </w:r>
      <w:r w:rsidR="009621BC">
        <w:rPr>
          <w:rFonts w:ascii="Arial" w:hAnsi="Arial" w:cs="Arial"/>
          <w:sz w:val="22"/>
          <w:szCs w:val="22"/>
        </w:rPr>
        <w:t xml:space="preserve">CAR-T product and response to bridging, and CAR-T product and time interval between apheresis and CAR-T infusion were incorporated in the model. </w:t>
      </w:r>
    </w:p>
    <w:p w14:paraId="2CBAE18D" w14:textId="77777777" w:rsidR="00394ACA" w:rsidRPr="00394ACA" w:rsidRDefault="00394ACA" w:rsidP="00394AC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9C8CFA5" w14:textId="597A72C5" w:rsidR="00394ACA" w:rsidRPr="00394ACA" w:rsidRDefault="00394ACA" w:rsidP="00175CE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94ACA">
        <w:rPr>
          <w:rFonts w:ascii="Arial" w:hAnsi="Arial" w:cs="Arial"/>
          <w:b/>
          <w:bCs/>
          <w:sz w:val="22"/>
          <w:szCs w:val="22"/>
        </w:rPr>
        <w:br w:type="page"/>
      </w:r>
    </w:p>
    <w:p w14:paraId="5A2FACED" w14:textId="7FF44B69" w:rsidR="00EB0A8B" w:rsidRPr="00394ACA" w:rsidRDefault="006E3E89" w:rsidP="006E3E89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SDC,</w:t>
      </w:r>
      <w:r w:rsidR="00175CE9" w:rsidRPr="00394ACA">
        <w:rPr>
          <w:rFonts w:ascii="Arial" w:hAnsi="Arial" w:cs="Arial"/>
          <w:b/>
          <w:bCs/>
          <w:sz w:val="22"/>
          <w:szCs w:val="22"/>
        </w:rPr>
        <w:t xml:space="preserve"> Figures</w:t>
      </w:r>
    </w:p>
    <w:p w14:paraId="5A55BC0F" w14:textId="16E4979D" w:rsidR="00502FEA" w:rsidRDefault="00026648" w:rsidP="001B0C6A">
      <w:pPr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AC7D20" wp14:editId="0C14D964">
                <wp:simplePos x="0" y="0"/>
                <wp:positionH relativeFrom="column">
                  <wp:posOffset>0</wp:posOffset>
                </wp:positionH>
                <wp:positionV relativeFrom="paragraph">
                  <wp:posOffset>6004267</wp:posOffset>
                </wp:positionV>
                <wp:extent cx="6065520" cy="2935301"/>
                <wp:effectExtent l="0" t="0" r="5080" b="0"/>
                <wp:wrapNone/>
                <wp:docPr id="5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520" cy="2935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37F02" w14:textId="4B91745E" w:rsidR="0004208B" w:rsidRPr="00026648" w:rsidRDefault="006E3E89" w:rsidP="0004208B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3E8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C, </w:t>
                            </w:r>
                            <w:r w:rsidRPr="00306F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C930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04208B" w:rsidRPr="000266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26648" w:rsidRPr="000266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More patients received intermediary therapies (holding and/or bridging) in European centers</w:t>
                            </w:r>
                            <w:r w:rsidR="005E4CD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 C</w:t>
                            </w:r>
                            <w:r w:rsidR="00026648" w:rsidRPr="000266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hemotherapy-based </w:t>
                            </w:r>
                            <w:r w:rsidR="005613D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intermediary </w:t>
                            </w:r>
                            <w:r w:rsidR="00026648" w:rsidRPr="000266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treatment strategies were used</w:t>
                            </w:r>
                            <w:r w:rsidR="005613D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more frequently</w:t>
                            </w:r>
                            <w:r w:rsidR="00026648" w:rsidRPr="000266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 the EU</w:t>
                            </w:r>
                            <w:r w:rsidR="005E4CD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whereas US patients more frequently </w:t>
                            </w:r>
                            <w:r w:rsidR="00995D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were treated with lower-intensity strategies like steroid monotherapy.</w:t>
                            </w:r>
                          </w:p>
                          <w:p w14:paraId="48B6A5E0" w14:textId="27A70E6A" w:rsidR="00026648" w:rsidRPr="00314906" w:rsidRDefault="00314906" w:rsidP="00026648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1490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A: </w:t>
                            </w:r>
                            <w:r w:rsidRPr="003149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Frequency of patients receiving holding and/or bridging therapy, and strategies used for holding and/or bridging for all patients. For patients receiving more than one treatment strategy, multiple allocations were possible. </w:t>
                            </w:r>
                            <w:r w:rsidRPr="0031490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B: </w:t>
                            </w:r>
                            <w:r w:rsidR="00DB5835" w:rsidRPr="00DB58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Relative distribution of patients receiving holding and/or bridging therapies (n=374), according to </w:t>
                            </w:r>
                            <w:r w:rsidR="00DB58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 T-cell product</w:t>
                            </w:r>
                            <w:r w:rsidR="00DB5835" w:rsidRPr="00DB58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Significance was determined by Chi-square test (****P&lt;0.0001).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="00AD4B67" w:rsidRPr="0031490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AD4B67" w:rsidRPr="0031490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Pie charts depicting the best radiographic response after holding and/or bridging therapy. </w:t>
                            </w:r>
                            <w:r w:rsidR="00AD4B67" w:rsidRPr="003149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patients receiving more than one treatment strategy,</w:t>
                            </w:r>
                            <w:r w:rsidR="005E4CD1" w:rsidRPr="003149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response assessment was mostly performed only once at the end of the interval, and</w:t>
                            </w:r>
                            <w:r w:rsidR="00AD4B67" w:rsidRPr="003149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4CD1" w:rsidRPr="003149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this radiographic </w:t>
                            </w:r>
                            <w:r w:rsidR="00AD4B67" w:rsidRPr="003149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response was </w:t>
                            </w:r>
                            <w:r w:rsidR="005E4CD1" w:rsidRPr="003149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therefore </w:t>
                            </w:r>
                            <w:r w:rsidR="00AD4B67" w:rsidRPr="003149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allocated to all used strategies (e.g. a patient achieving a PR with RTx and SM therapy was allocated as responder for both RTx and SM groups)</w:t>
                            </w:r>
                            <w:r w:rsidR="00AD4B67" w:rsidRPr="0031490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31490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D:</w:t>
                            </w:r>
                            <w:r w:rsidRPr="003149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Frequency of patients receiving holding and/or bridging therapy, and strategies used for holding and/or bridging. For patients receiving more than one treatment strategy, multiple allocations were possible. Significance was determined by Fisher’s exact test (*P&lt;0.05, **P&lt;0.01, ***P &lt;0.001, ****P&lt;0.0001). </w:t>
                            </w:r>
                            <w:r w:rsidR="00026648" w:rsidRPr="00314906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Abbreviations</w:t>
                            </w:r>
                            <w:r w:rsidR="00026648" w:rsidRPr="003149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Chemo: chemotherapy (e.g. ICE, when applied </w:t>
                            </w:r>
                            <w:r w:rsidR="00026648" w:rsidRPr="00314906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without</w:t>
                            </w:r>
                            <w:r w:rsidR="00026648" w:rsidRPr="003149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e.g. Anti-CD20 antibody). CIT: chemoimmunotherapy (including Rituximab+Polatuzumab Vedotine). Immuno: Immunotherapy (e.g. Rituximab Monotherapy), RTx: Radiotherapy. SM: small molecule (e.g. Ibrutinib, copanlisib).</w:t>
                            </w:r>
                          </w:p>
                          <w:p w14:paraId="7EDC4152" w14:textId="22064B5B" w:rsidR="0004208B" w:rsidRPr="008F7E37" w:rsidRDefault="0004208B" w:rsidP="0004208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C7D2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72.8pt;width:477.6pt;height:231.1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" fillcolor="white [3201]" stroked="f" strokeweight=".5pt">
                <v:textbox>
                  <w:txbxContent>
                    <w:p w14:paraId="19737F02" w14:textId="4B91745E" w:rsidR="0004208B" w:rsidRPr="00026648" w:rsidRDefault="006E3E89" w:rsidP="0004208B">
                      <w:pPr>
                        <w:spacing w:after="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3E8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C, </w:t>
                      </w:r>
                      <w:r w:rsidRPr="00306F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="00C930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04208B" w:rsidRPr="000266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026648" w:rsidRPr="000266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More patients received intermediary therapies (holding and/or bridging) in European centers</w:t>
                      </w:r>
                      <w:r w:rsidR="005E4CD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 C</w:t>
                      </w:r>
                      <w:r w:rsidR="00026648" w:rsidRPr="000266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hemotherapy-based </w:t>
                      </w:r>
                      <w:r w:rsidR="005613D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intermediary </w:t>
                      </w:r>
                      <w:r w:rsidR="00026648" w:rsidRPr="000266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treatment strategies were used</w:t>
                      </w:r>
                      <w:r w:rsidR="005613D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more frequently</w:t>
                      </w:r>
                      <w:r w:rsidR="00026648" w:rsidRPr="000266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in the EU</w:t>
                      </w:r>
                      <w:r w:rsidR="005E4CD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, whereas US patients more frequently </w:t>
                      </w:r>
                      <w:r w:rsidR="00995D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were treated with lower-intensity strategies like steroid monotherapy.</w:t>
                      </w:r>
                    </w:p>
                    <w:p w14:paraId="48B6A5E0" w14:textId="27A70E6A" w:rsidR="00026648" w:rsidRPr="00314906" w:rsidRDefault="00314906" w:rsidP="00026648">
                      <w:pPr>
                        <w:spacing w:after="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1490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A: </w:t>
                      </w:r>
                      <w:r w:rsidRPr="003149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Frequency of patients receiving holding and/or bridging therapy, and strategies used for holding and/or bridging for all patients. For patients receiving more than one treatment strategy, multiple allocations were possible. </w:t>
                      </w:r>
                      <w:r w:rsidRPr="0031490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B: </w:t>
                      </w:r>
                      <w:r w:rsidR="00DB5835" w:rsidRPr="00DB583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Relative distribution of patients receiving holding and/or bridging therapies (n=374), according to </w:t>
                      </w:r>
                      <w:r w:rsidR="00DB5835">
                        <w:rPr>
                          <w:rFonts w:ascii="Arial" w:hAnsi="Arial" w:cs="Arial"/>
                          <w:sz w:val="20"/>
                          <w:szCs w:val="20"/>
                        </w:rPr>
                        <w:t>CAR T-cell product</w:t>
                      </w:r>
                      <w:r w:rsidR="00DB5835" w:rsidRPr="00DB583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Significance was determined by Chi-square test (****P&lt;0.0001).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 w:rsidR="00AD4B67" w:rsidRPr="0031490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AD4B67" w:rsidRPr="0031490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Pie charts depicting the best radiographic response after holding and/or bridging therapy. </w:t>
                      </w:r>
                      <w:r w:rsidR="00AD4B67" w:rsidRPr="00314906">
                        <w:rPr>
                          <w:rFonts w:ascii="Arial" w:hAnsi="Arial" w:cs="Arial"/>
                          <w:sz w:val="20"/>
                          <w:szCs w:val="20"/>
                        </w:rPr>
                        <w:t>For patients receiving more than one treatment strategy,</w:t>
                      </w:r>
                      <w:r w:rsidR="005E4CD1" w:rsidRPr="003149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response assessment was mostly performed only once at the end of the interval, and</w:t>
                      </w:r>
                      <w:r w:rsidR="00AD4B67" w:rsidRPr="003149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E4CD1" w:rsidRPr="003149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this radiographic </w:t>
                      </w:r>
                      <w:r w:rsidR="00AD4B67" w:rsidRPr="003149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response was </w:t>
                      </w:r>
                      <w:r w:rsidR="005E4CD1" w:rsidRPr="003149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therefore </w:t>
                      </w:r>
                      <w:r w:rsidR="00AD4B67" w:rsidRPr="00314906">
                        <w:rPr>
                          <w:rFonts w:ascii="Arial" w:hAnsi="Arial" w:cs="Arial"/>
                          <w:sz w:val="20"/>
                          <w:szCs w:val="20"/>
                        </w:rPr>
                        <w:t>allocated to all used strategies (e.g. a patient achieving a PR with RTx and SM therapy was allocated as responder for both RTx and SM groups)</w:t>
                      </w:r>
                      <w:r w:rsidR="00AD4B67" w:rsidRPr="0031490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Pr="0031490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D:</w:t>
                      </w:r>
                      <w:r w:rsidRPr="003149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Frequency of patients receiving holding and/or bridging therapy, and strategies used for holding and/or bridging. For patients receiving more than one treatment strategy, multiple allocations were possible. Significance was determined by Fisher’s exact test (*P&lt;0.05, **P&lt;0.01, ***P &lt;0.001, ****P&lt;0.0001). </w:t>
                      </w:r>
                      <w:r w:rsidR="00026648" w:rsidRPr="00314906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Abbreviations</w:t>
                      </w:r>
                      <w:r w:rsidR="00026648" w:rsidRPr="003149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Chemo: chemotherapy (e.g. ICE, when applied </w:t>
                      </w:r>
                      <w:r w:rsidR="00026648" w:rsidRPr="00314906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without</w:t>
                      </w:r>
                      <w:r w:rsidR="00026648" w:rsidRPr="003149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e.g. Anti-CD20 antibody). CIT: chemoimmunotherapy (including Rituximab+Polatuzumab Vedotine). Immuno: Immunotherapy (e.g. Rituximab Monotherapy), RTx: Radiotherapy. SM: small molecule (e.g. Ibrutinib, copanlisib).</w:t>
                      </w:r>
                    </w:p>
                    <w:p w14:paraId="7EDC4152" w14:textId="22064B5B" w:rsidR="0004208B" w:rsidRPr="008F7E37" w:rsidRDefault="0004208B" w:rsidP="0004208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906">
        <w:rPr>
          <w:rFonts w:ascii="Arial" w:hAnsi="Arial" w:cs="Arial"/>
          <w:b/>
          <w:bCs/>
          <w:noProof/>
          <w:sz w:val="22"/>
          <w:szCs w:val="22"/>
          <w:lang w:val="de-DE"/>
        </w:rPr>
        <w:drawing>
          <wp:inline distT="0" distB="0" distL="0" distR="0" wp14:anchorId="0B8A7CD0" wp14:editId="187331F5">
            <wp:extent cx="5127171" cy="6188757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977" cy="62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29954" w14:textId="69F2A686" w:rsidR="00502FEA" w:rsidRDefault="00502FE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F399ED1" w14:textId="608EB188" w:rsidR="00502FEA" w:rsidRDefault="00502FE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D3DA71D" w14:textId="5CD9ED06" w:rsidR="00502FEA" w:rsidRDefault="00502FE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40E744A" w14:textId="00BE76A1" w:rsidR="00502FEA" w:rsidRDefault="00502FE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B9C7F29" w14:textId="7DC708C7" w:rsidR="00502FEA" w:rsidRDefault="00502FE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7A8C608" w14:textId="72B5BFA1" w:rsidR="00502FEA" w:rsidRDefault="00502FE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11E509F" w14:textId="7307C132" w:rsidR="00502FEA" w:rsidRDefault="00502FE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0B8B93EA" w14:textId="4AEFCC9C" w:rsidR="00502FEA" w:rsidRDefault="00502FE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C58067A" w14:textId="57FD624A" w:rsidR="0004208B" w:rsidRDefault="0004208B">
      <w:pPr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br w:type="page"/>
      </w:r>
    </w:p>
    <w:p w14:paraId="2EB0A759" w14:textId="694EE0B4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EF50F5C" w14:textId="38349B1F" w:rsidR="0004208B" w:rsidRDefault="000A023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noProof/>
          <w:sz w:val="22"/>
          <w:szCs w:val="22"/>
          <w:lang w:val="de-DE"/>
        </w:rPr>
        <w:drawing>
          <wp:inline distT="0" distB="0" distL="0" distR="0" wp14:anchorId="16D6220F" wp14:editId="6C2D8A33">
            <wp:extent cx="5943600" cy="419163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AC54" w14:textId="552FB560" w:rsidR="0004208B" w:rsidRDefault="000A023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05617F" wp14:editId="41DD1A7A">
                <wp:simplePos x="0" y="0"/>
                <wp:positionH relativeFrom="column">
                  <wp:posOffset>0</wp:posOffset>
                </wp:positionH>
                <wp:positionV relativeFrom="paragraph">
                  <wp:posOffset>26487</wp:posOffset>
                </wp:positionV>
                <wp:extent cx="6065520" cy="1878330"/>
                <wp:effectExtent l="0" t="0" r="0" b="0"/>
                <wp:wrapNone/>
                <wp:docPr id="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520" cy="1878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9A0C8" w14:textId="262A0D3F" w:rsidR="0004208B" w:rsidRPr="0004208B" w:rsidRDefault="006E3E89" w:rsidP="0004208B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3E8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C, </w:t>
                            </w:r>
                            <w:r w:rsidRPr="00306F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C930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04208B" w:rsidRPr="00995D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995D31" w:rsidRPr="00995D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Differences in CAR T-cell associated toxicities are driven by the cell product.</w:t>
                            </w:r>
                          </w:p>
                          <w:p w14:paraId="61B9F305" w14:textId="181E8582" w:rsidR="0004208B" w:rsidRPr="00995D31" w:rsidRDefault="00995D31" w:rsidP="00995D3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5D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A: </w:t>
                            </w:r>
                            <w:r w:rsidRPr="00995D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Relative distribution of highest-grade CRS </w:t>
                            </w:r>
                            <w:r w:rsidRPr="00995D3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in Axi-cel and Tisa-cel patients</w:t>
                            </w:r>
                            <w:r w:rsidRPr="00995D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95D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B: </w:t>
                            </w:r>
                            <w:r w:rsidRPr="00995D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Relative distribution of highest-grade ICANS </w:t>
                            </w:r>
                            <w:r w:rsidRPr="00995D3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in Axi-cel and Tisa-cel patients</w:t>
                            </w:r>
                            <w:r w:rsidRPr="00995D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995D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C: </w:t>
                            </w:r>
                            <w:r w:rsidRPr="00995D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Cumulative incidence curves for non-relapse mortality </w:t>
                            </w:r>
                            <w:r w:rsidRPr="00995D3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in Axi-cel and Tisa-cel patients</w:t>
                            </w:r>
                            <w:r w:rsidRPr="00995D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calculated from CAR T cell transfusion. Significance was assessed by log-rank test. </w:t>
                            </w:r>
                            <w:r w:rsidRPr="00995D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D: </w:t>
                            </w:r>
                            <w:r w:rsidRPr="00995D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Duration of post-transfusion in-patient hospitalization </w:t>
                            </w:r>
                            <w:r w:rsidRPr="00995D3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for Axi-cel and Tisa-cel patients</w:t>
                            </w:r>
                            <w:r w:rsidRPr="00995D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days. Box and whiskers describe the median with 95% confidence intervals. Significance was determined by Mann-Whitney test (****P&lt;0.0001).</w:t>
                            </w:r>
                            <w:r w:rsidRPr="00995D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5D31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Abbreviations</w:t>
                            </w:r>
                            <w:r w:rsidRPr="00995D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Axi-cel: Axicabtagene ciloleucel. CRS: cytokine-release syndrome. ICANS: immune effector cell associated neurotoxicity syndrome. mo: months. NRM: non-relapse mortality. Tisa-cel: Tisagenlecleucel.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5617F" id="_x0000_s1027" type="#_x0000_t202" style="position:absolute;left:0;text-align:left;margin-left:0;margin-top:2.1pt;width:477.6pt;height:147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" fillcolor="white [3201]" stroked="f" strokeweight=".5pt">
                <v:textbox>
                  <w:txbxContent>
                    <w:p w14:paraId="3599A0C8" w14:textId="262A0D3F" w:rsidR="0004208B" w:rsidRPr="0004208B" w:rsidRDefault="006E3E89" w:rsidP="0004208B">
                      <w:pPr>
                        <w:spacing w:after="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6E3E8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C, </w:t>
                      </w:r>
                      <w:r w:rsidRPr="00306F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="00C930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04208B" w:rsidRPr="00995D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995D31" w:rsidRPr="00995D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Differences in CAR T-cell associated toxicities are driven by the cell product.</w:t>
                      </w:r>
                    </w:p>
                    <w:p w14:paraId="61B9F305" w14:textId="181E8582" w:rsidR="0004208B" w:rsidRPr="00995D31" w:rsidRDefault="00995D31" w:rsidP="00995D3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5D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A: </w:t>
                      </w:r>
                      <w:r w:rsidRPr="00995D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Relative distribution of highest-grade CRS </w:t>
                      </w:r>
                      <w:r w:rsidRPr="00995D3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in Axi-cel and Tisa-cel patients</w:t>
                      </w:r>
                      <w:r w:rsidRPr="00995D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Pr="00995D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B: </w:t>
                      </w:r>
                      <w:r w:rsidRPr="00995D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Relative distribution of highest-grade ICANS </w:t>
                      </w:r>
                      <w:r w:rsidRPr="00995D3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in Axi-cel and Tisa-cel patients</w:t>
                      </w:r>
                      <w:r w:rsidRPr="00995D3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995D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C: </w:t>
                      </w:r>
                      <w:r w:rsidRPr="00995D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Cumulative incidence curves for non-relapse mortality </w:t>
                      </w:r>
                      <w:r w:rsidRPr="00995D3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in Axi-cel and Tisa-cel patients</w:t>
                      </w:r>
                      <w:r w:rsidRPr="00995D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calculated from CAR T cell transfusion. Significance was assessed by log-rank test. </w:t>
                      </w:r>
                      <w:r w:rsidRPr="00995D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D: </w:t>
                      </w:r>
                      <w:r w:rsidRPr="00995D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Duration of post-transfusion in-patient hospitalization </w:t>
                      </w:r>
                      <w:r w:rsidRPr="00995D3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for Axi-cel and Tisa-cel patients</w:t>
                      </w:r>
                      <w:r w:rsidRPr="00995D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days. Box and whiskers describe the median with 95% confidence intervals. Significance was determined by Mann-Whitney test (****P&lt;0.0001).</w:t>
                      </w:r>
                      <w:r w:rsidRPr="00995D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995D31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Abbreviations</w:t>
                      </w:r>
                      <w:r w:rsidRPr="00995D31">
                        <w:rPr>
                          <w:rFonts w:ascii="Arial" w:hAnsi="Arial" w:cs="Arial"/>
                          <w:sz w:val="20"/>
                          <w:szCs w:val="20"/>
                        </w:rPr>
                        <w:t>: Axi-cel: Axicabtagene ciloleucel. CRS: cytokine-release syndrome. ICANS: immune effector cell associated neurotoxicity syndrome. mo: months. NRM: non-relapse mortality. Tisa-cel: Tisagenlecleucel.</w:t>
                      </w:r>
                    </w:p>
                  </w:txbxContent>
                </v:textbox>
              </v:shape>
            </w:pict>
          </mc:Fallback>
        </mc:AlternateContent>
      </w:r>
    </w:p>
    <w:p w14:paraId="3D996FE6" w14:textId="608EDF24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1EEBFE9" w14:textId="42478067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A92B706" w14:textId="4E25DA1F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D5DE895" w14:textId="673BDE04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60B5061" w14:textId="729AA459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160ED14" w14:textId="77B51F0C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E448832" w14:textId="55BDCE4E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16BCAD4" w14:textId="2C04028E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0C8CCAC" w14:textId="77777777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5E75DD7" w14:textId="092AF7DE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F677319" w14:textId="2E0CED2A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40A0595" w14:textId="612C5F5A" w:rsidR="0004208B" w:rsidRDefault="0004208B">
      <w:pPr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br w:type="page"/>
      </w:r>
    </w:p>
    <w:p w14:paraId="3A785010" w14:textId="2DFA00AE" w:rsidR="00175CE9" w:rsidRDefault="000A023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noProof/>
          <w:sz w:val="22"/>
          <w:szCs w:val="22"/>
          <w:lang w:val="de-DE"/>
        </w:rPr>
        <w:lastRenderedPageBreak/>
        <w:drawing>
          <wp:inline distT="0" distB="0" distL="0" distR="0" wp14:anchorId="1228CAC4" wp14:editId="6AF8DF1C">
            <wp:extent cx="5943600" cy="2445385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B9FC" w14:textId="0C017BC7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FF63944" w14:textId="49DEDBB3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9F441D" wp14:editId="4A04B71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65520" cy="1878330"/>
                <wp:effectExtent l="0" t="0" r="0" b="0"/>
                <wp:wrapNone/>
                <wp:docPr id="6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520" cy="1878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51BD8" w14:textId="364AEE39" w:rsidR="0004208B" w:rsidRPr="0004208B" w:rsidRDefault="006E3E89" w:rsidP="0004208B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3E8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C, </w:t>
                            </w:r>
                            <w:r w:rsidRPr="00306F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C930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="0004208B" w:rsidRPr="003803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3803C5" w:rsidRPr="003803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Progression-free survival</w:t>
                            </w:r>
                            <w:r w:rsidR="003803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3803C5" w:rsidRPr="003803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overall survival are significantly inferior for</w:t>
                            </w:r>
                            <w:r w:rsidR="00667D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patients receiving</w:t>
                            </w:r>
                            <w:r w:rsidR="003803C5" w:rsidRPr="003803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03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Tisa-cel</w:t>
                            </w:r>
                            <w:r w:rsidR="003803C5" w:rsidRPr="003803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7D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vs.</w:t>
                            </w:r>
                            <w:r w:rsidR="003803C5" w:rsidRPr="003803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03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Axi-cel</w:t>
                            </w:r>
                            <w:r w:rsidR="003803C5" w:rsidRPr="003803C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after CAR T-cell therapy.</w:t>
                            </w:r>
                          </w:p>
                          <w:p w14:paraId="73C6BDDD" w14:textId="77777777" w:rsidR="000D0EBE" w:rsidRPr="000D0EBE" w:rsidRDefault="00EF7305" w:rsidP="000D0EB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0EB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A-B:</w:t>
                            </w:r>
                            <w:r w:rsidRP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Kaplan-Meier estimates of progression-free (</w:t>
                            </w:r>
                            <w:r w:rsidRPr="000D0EB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 and overall (</w:t>
                            </w:r>
                            <w:r w:rsidRPr="000D0EB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</w:t>
                            </w:r>
                            <w:r w:rsidRP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 survival, calculated from the day of CAR T-cell transfusion, for Axi-cel and Tisa-cel patients. Median survival (when reached) is reported with 95% confidence interval in the respective insets. Significance was assessed by log-rank test.</w:t>
                            </w:r>
                            <w:r w:rsidR="000D0EBE" w:rsidRP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0EBE" w:rsidRPr="000D0EBE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Abbreviations</w:t>
                            </w:r>
                            <w:r w:rsidR="000D0EBE" w:rsidRP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: mo: months. NR: not reached.</w:t>
                            </w:r>
                          </w:p>
                          <w:p w14:paraId="2A6ECCA9" w14:textId="77777777" w:rsidR="000D0EBE" w:rsidRPr="00885CF9" w:rsidRDefault="000D0EBE" w:rsidP="000D0EBE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4C9E9A3" w14:textId="77AE2F28" w:rsidR="0004208B" w:rsidRPr="008F7E37" w:rsidRDefault="0004208B" w:rsidP="00EF730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F441D" id="_x0000_s1028" type="#_x0000_t202" style="position:absolute;left:0;text-align:left;margin-left:0;margin-top:-.05pt;width:477.6pt;height:147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" fillcolor="white [3201]" stroked="f" strokeweight=".5pt">
                <v:textbox>
                  <w:txbxContent>
                    <w:p w14:paraId="00C51BD8" w14:textId="364AEE39" w:rsidR="0004208B" w:rsidRPr="0004208B" w:rsidRDefault="006E3E89" w:rsidP="0004208B">
                      <w:pPr>
                        <w:spacing w:after="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6E3E8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C, </w:t>
                      </w:r>
                      <w:r w:rsidRPr="00306F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="00C930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="0004208B" w:rsidRPr="003803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3803C5" w:rsidRPr="003803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Progression-free survival</w:t>
                      </w:r>
                      <w:r w:rsidR="003803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and</w:t>
                      </w:r>
                      <w:r w:rsidR="003803C5" w:rsidRPr="003803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overall survival are significantly inferior for</w:t>
                      </w:r>
                      <w:r w:rsidR="00667D8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patients receiving</w:t>
                      </w:r>
                      <w:r w:rsidR="003803C5" w:rsidRPr="003803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803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Tisa-cel</w:t>
                      </w:r>
                      <w:r w:rsidR="003803C5" w:rsidRPr="003803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67D8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vs.</w:t>
                      </w:r>
                      <w:r w:rsidR="003803C5" w:rsidRPr="003803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803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Axi-cel</w:t>
                      </w:r>
                      <w:r w:rsidR="003803C5" w:rsidRPr="003803C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after CAR T-cell therapy.</w:t>
                      </w:r>
                    </w:p>
                    <w:p w14:paraId="73C6BDDD" w14:textId="77777777" w:rsidR="000D0EBE" w:rsidRPr="000D0EBE" w:rsidRDefault="00EF7305" w:rsidP="000D0EB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0EBE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A-B:</w:t>
                      </w:r>
                      <w:r w:rsidRP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Kaplan-Meier estimates of progression-free (</w:t>
                      </w:r>
                      <w:r w:rsidRPr="000D0EBE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 and overall (</w:t>
                      </w:r>
                      <w:r w:rsidRPr="000D0EBE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</w:t>
                      </w:r>
                      <w:r w:rsidRP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 survival, calculated from the day of CAR T-cell transfusion, for Axi-cel and Tisa-cel patients. Median survival (when reached) is reported with 95% confidence interval in the respective insets. Significance was assessed by log-rank test.</w:t>
                      </w:r>
                      <w:r w:rsidR="000D0EBE" w:rsidRP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D0EBE" w:rsidRPr="000D0EBE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>Abbreviations</w:t>
                      </w:r>
                      <w:r w:rsidR="000D0EBE" w:rsidRP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: mo: months. NR: not reached.</w:t>
                      </w:r>
                    </w:p>
                    <w:p w14:paraId="2A6ECCA9" w14:textId="77777777" w:rsidR="000D0EBE" w:rsidRPr="00885CF9" w:rsidRDefault="000D0EBE" w:rsidP="000D0EBE">
                      <w:pPr>
                        <w:spacing w:after="6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4C9E9A3" w14:textId="77AE2F28" w:rsidR="0004208B" w:rsidRPr="008F7E37" w:rsidRDefault="0004208B" w:rsidP="00EF7305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953DFD" w14:textId="1F77F79E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86320AB" w14:textId="6DE929C4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4F448C1" w14:textId="4A97D407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DADE80F" w14:textId="53AC6748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8031B36" w14:textId="4A37A93A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4640244" w14:textId="1BB7CFA2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5A54706" w14:textId="60A2B4D4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D000866" w14:textId="654F13A9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5B215BC" w14:textId="3BF890E2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9DB01CC" w14:textId="71E0C4D3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6EBCB10" w14:textId="2ED9FAC2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B75A510" w14:textId="31F0F427" w:rsidR="0004208B" w:rsidRDefault="0004208B">
      <w:pPr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br w:type="page"/>
      </w:r>
    </w:p>
    <w:p w14:paraId="03D34D3F" w14:textId="22A7E63F" w:rsidR="0004208B" w:rsidRDefault="001B0C6A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noProof/>
          <w:sz w:val="22"/>
          <w:szCs w:val="22"/>
          <w:lang w:val="de-DE"/>
        </w:rPr>
        <w:lastRenderedPageBreak/>
        <w:drawing>
          <wp:inline distT="0" distB="0" distL="0" distR="0" wp14:anchorId="18E51D0E" wp14:editId="6AB94D20">
            <wp:extent cx="5943600" cy="280860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66265" w14:textId="349094A6" w:rsidR="0004208B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9A3863D" wp14:editId="0161952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65520" cy="1878330"/>
                <wp:effectExtent l="0" t="0" r="0" b="0"/>
                <wp:wrapNone/>
                <wp:docPr id="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520" cy="1878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1D8463" w14:textId="2150154B" w:rsidR="00B20F85" w:rsidRPr="00667D87" w:rsidRDefault="006E3E89" w:rsidP="00B20F85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3E8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C, </w:t>
                            </w:r>
                            <w:r w:rsidRPr="00306F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C930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B20F85" w:rsidRPr="00667D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667D87" w:rsidRPr="00667D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High-risk patients, defined by an </w:t>
                            </w:r>
                            <w:r w:rsidR="00B06777" w:rsidRPr="00667D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HR</w:t>
                            </w:r>
                            <w:r w:rsidR="00B0677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balancer</w:t>
                            </w:r>
                            <w:r w:rsidR="00B06777" w:rsidRPr="00667D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7D87" w:rsidRPr="00667D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≥0.52, have significantly inferior progression-free and overall survival</w:t>
                            </w:r>
                            <w:r w:rsidR="00667D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E158782" w14:textId="184DB431" w:rsidR="000D0EBE" w:rsidRPr="008F7E37" w:rsidRDefault="00667D87" w:rsidP="000D0EB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7D8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A-B:</w:t>
                            </w:r>
                            <w:r w:rsidRPr="00667D8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Kaplan-Meier estimates of progression-free (</w:t>
                            </w:r>
                            <w:r w:rsidRPr="00667D8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667D8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 and overall (</w:t>
                            </w:r>
                            <w:r w:rsidRPr="00667D8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</w:t>
                            </w:r>
                            <w:r w:rsidRPr="00667D8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) survival, calculated from the day of CAR T-cell transfusion, for </w:t>
                            </w:r>
                            <w:r w:rsidR="00B0677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HR balancer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high and low-risk</w:t>
                            </w:r>
                            <w:r w:rsidRPr="00667D8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patients. Median survival (when reached) is reported with 95% confidence interval in the respective insets. Significance was assessed by log-rank test.</w:t>
                            </w:r>
                            <w:r w:rsid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0EBE" w:rsidRPr="000D0EBE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Abbreviations</w:t>
                            </w:r>
                            <w:r w:rsidR="000D0EBE" w:rsidRP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: mo: months.</w:t>
                            </w:r>
                            <w:r w:rsid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NR: not reached.</w:t>
                            </w:r>
                          </w:p>
                          <w:p w14:paraId="2AFC63BD" w14:textId="77777777" w:rsidR="000D0EBE" w:rsidRPr="00885CF9" w:rsidRDefault="000D0EBE" w:rsidP="000D0EBE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06C890E" w14:textId="2F8B1783" w:rsidR="00B20F85" w:rsidRPr="008F7E37" w:rsidRDefault="00B20F85" w:rsidP="00B20F8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3863D" id="_x0000_s1029" type="#_x0000_t202" style="position:absolute;left:0;text-align:left;margin-left:0;margin-top:-.05pt;width:477.6pt;height:147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" fillcolor="white [3201]" stroked="f" strokeweight=".5pt">
                <v:textbox>
                  <w:txbxContent>
                    <w:p w14:paraId="2D1D8463" w14:textId="2150154B" w:rsidR="00B20F85" w:rsidRPr="00667D87" w:rsidRDefault="006E3E89" w:rsidP="00B20F85">
                      <w:pPr>
                        <w:spacing w:after="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3E8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C, </w:t>
                      </w:r>
                      <w:r w:rsidRPr="00306F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="00C930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="00B20F85" w:rsidRPr="00667D8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667D87" w:rsidRPr="00667D8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High-risk patients, defined by an </w:t>
                      </w:r>
                      <w:r w:rsidR="00B06777" w:rsidRPr="00667D8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HR</w:t>
                      </w:r>
                      <w:r w:rsidR="00B0677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balancer</w:t>
                      </w:r>
                      <w:r w:rsidR="00B06777" w:rsidRPr="00667D8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67D87" w:rsidRPr="00667D8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≥0.52, have significantly inferior progression-free and overall survival</w:t>
                      </w:r>
                      <w:r w:rsidR="00667D8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4E158782" w14:textId="184DB431" w:rsidR="000D0EBE" w:rsidRPr="008F7E37" w:rsidRDefault="00667D87" w:rsidP="000D0EB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7D8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A-B:</w:t>
                      </w:r>
                      <w:r w:rsidRPr="00667D8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Kaplan-Meier estimates of progression-free (</w:t>
                      </w:r>
                      <w:r w:rsidRPr="00667D8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667D8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 and overall (</w:t>
                      </w:r>
                      <w:r w:rsidRPr="00667D8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</w:t>
                      </w:r>
                      <w:r w:rsidRPr="00667D8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) survival, calculated from the day of CAR T-cell transfusion, for </w:t>
                      </w:r>
                      <w:r w:rsidR="00B0677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HR balancer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high and low-risk</w:t>
                      </w:r>
                      <w:r w:rsidRPr="00667D8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patients. Median survival (when reached) is reported with 95% confidence interval in the respective insets. Significance was assessed by log-rank test.</w:t>
                      </w:r>
                      <w:r w:rsid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D0EBE" w:rsidRPr="000D0EBE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>Abbreviations</w:t>
                      </w:r>
                      <w:r w:rsidR="000D0EBE" w:rsidRP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: mo: months.</w:t>
                      </w:r>
                      <w:r w:rsid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NR: not reached.</w:t>
                      </w:r>
                    </w:p>
                    <w:p w14:paraId="2AFC63BD" w14:textId="77777777" w:rsidR="000D0EBE" w:rsidRPr="00885CF9" w:rsidRDefault="000D0EBE" w:rsidP="000D0EBE">
                      <w:pPr>
                        <w:spacing w:after="6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06C890E" w14:textId="2F8B1783" w:rsidR="00B20F85" w:rsidRPr="008F7E37" w:rsidRDefault="00B20F85" w:rsidP="00B20F85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350C3D" w14:textId="3023489E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4A5A1AD" w14:textId="7138403D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6054E90" w14:textId="64A39B17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381A4B5" w14:textId="4F98AE69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F67D952" w14:textId="3E08FD33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9E66245" w14:textId="1654DB9E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079FB43" w14:textId="72A92263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D992321" w14:textId="56E589DF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EE70488" w14:textId="3FA5AB0D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19FDCCD" w14:textId="7CE67E75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18E547A" w14:textId="77777777" w:rsidR="0004208B" w:rsidRDefault="0004208B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E875788" w14:textId="183EA32B" w:rsidR="007045A6" w:rsidRDefault="007045A6" w:rsidP="00ED65A3">
      <w:pPr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br w:type="page"/>
      </w:r>
    </w:p>
    <w:p w14:paraId="0DC2F31B" w14:textId="0FF3FFBA" w:rsidR="00B20F85" w:rsidRDefault="00B06777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noProof/>
          <w:sz w:val="22"/>
          <w:szCs w:val="22"/>
          <w:lang w:val="de-DE"/>
        </w:rPr>
        <w:lastRenderedPageBreak/>
        <w:drawing>
          <wp:inline distT="0" distB="0" distL="0" distR="0" wp14:anchorId="4BA8DD7F" wp14:editId="451EAC51">
            <wp:extent cx="5943600" cy="257111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B0D2" w14:textId="1A9AB64E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723771" wp14:editId="36FDA611">
                <wp:simplePos x="0" y="0"/>
                <wp:positionH relativeFrom="column">
                  <wp:posOffset>0</wp:posOffset>
                </wp:positionH>
                <wp:positionV relativeFrom="paragraph">
                  <wp:posOffset>53676</wp:posOffset>
                </wp:positionV>
                <wp:extent cx="6065520" cy="1878330"/>
                <wp:effectExtent l="0" t="0" r="0" b="0"/>
                <wp:wrapNone/>
                <wp:docPr id="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520" cy="1878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453F9" w14:textId="78067C63" w:rsidR="00885CF9" w:rsidRDefault="006E3E89" w:rsidP="00885CF9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E8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C, </w:t>
                            </w:r>
                            <w:r w:rsidRPr="00306F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C930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B20F85" w:rsidRPr="00885CF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885CF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Overall</w:t>
                            </w:r>
                            <w:r w:rsidR="00885CF9" w:rsidRPr="00885CF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survival for low-risk patients receiving Axi-cel is superior in comparison to low-risk patients receiving Tisa-cel, whereas the choice of CAR T-cell product does not influence outcomes in high-risk patients.</w:t>
                            </w:r>
                          </w:p>
                          <w:p w14:paraId="7552814A" w14:textId="2BDED1D6" w:rsidR="000D0EBE" w:rsidRPr="008F7E37" w:rsidRDefault="00885CF9" w:rsidP="000D0EB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85CF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Kaplan-Meier estimates of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overall</w:t>
                            </w:r>
                            <w:r w:rsidRPr="00885CF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survival in patients receiving Axi-cel or Tisa-cel for </w:t>
                            </w:r>
                            <w:r w:rsidR="00B06777" w:rsidRPr="00885CF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HR</w:t>
                            </w:r>
                            <w:r w:rsidR="00B0677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balancer </w:t>
                            </w:r>
                            <w:r w:rsidRPr="00885CF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low risk (left) and high risk (right) patients, calculated from the day of CAR T-cell transfusion. Median survival (when reached) is reported with 95% confidence interval in the respective insets. Significance was assessed by log-rank test.</w:t>
                            </w:r>
                            <w:r w:rsid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0EBE" w:rsidRPr="000D0EBE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Abbreviations</w:t>
                            </w:r>
                            <w:r w:rsidR="000D0EBE" w:rsidRP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: mo: months.</w:t>
                            </w:r>
                            <w:r w:rsid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NR: not reached.</w:t>
                            </w:r>
                          </w:p>
                          <w:p w14:paraId="652CF113" w14:textId="7936F7AE" w:rsidR="00B20F85" w:rsidRPr="00885CF9" w:rsidRDefault="00B20F85" w:rsidP="00885CF9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23771" id="_x0000_s1030" type="#_x0000_t202" style="position:absolute;left:0;text-align:left;margin-left:0;margin-top:4.25pt;width:477.6pt;height:147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" fillcolor="white [3201]" stroked="f" strokeweight=".5pt">
                <v:textbox>
                  <w:txbxContent>
                    <w:p w14:paraId="1E1453F9" w14:textId="78067C63" w:rsidR="00885CF9" w:rsidRDefault="006E3E89" w:rsidP="00885CF9">
                      <w:pPr>
                        <w:spacing w:after="60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6E3E8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C, </w:t>
                      </w:r>
                      <w:r w:rsidRPr="00306F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="00C930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B20F85" w:rsidRPr="00885CF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885CF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Overall</w:t>
                      </w:r>
                      <w:r w:rsidR="00885CF9" w:rsidRPr="00885CF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survival for low-risk patients receiving Axi-cel is superior in comparison to low-risk patients receiving Tisa-cel, whereas the choice of CAR T-cell product does not influence outcomes in high-risk patients.</w:t>
                      </w:r>
                    </w:p>
                    <w:p w14:paraId="7552814A" w14:textId="2BDED1D6" w:rsidR="000D0EBE" w:rsidRPr="008F7E37" w:rsidRDefault="00885CF9" w:rsidP="000D0EB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85CF9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Kaplan-Meier estimates of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overall</w:t>
                      </w:r>
                      <w:r w:rsidRPr="00885CF9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survival in patients receiving Axi-cel or Tisa-cel for </w:t>
                      </w:r>
                      <w:r w:rsidR="00B06777" w:rsidRPr="00885CF9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HR</w:t>
                      </w:r>
                      <w:r w:rsidR="00B0677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balancer </w:t>
                      </w:r>
                      <w:r w:rsidRPr="00885CF9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low risk (left) and high risk (right) patients, calculated from the day of CAR T-cell transfusion. Median survival (when reached) is reported with 95% confidence interval in the respective insets. Significance was assessed by log-rank test.</w:t>
                      </w:r>
                      <w:r w:rsid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D0EBE" w:rsidRPr="000D0EBE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>Abbreviations</w:t>
                      </w:r>
                      <w:r w:rsidR="000D0EBE" w:rsidRP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: mo: months.</w:t>
                      </w:r>
                      <w:r w:rsid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NR: not reached.</w:t>
                      </w:r>
                    </w:p>
                    <w:p w14:paraId="652CF113" w14:textId="7936F7AE" w:rsidR="00B20F85" w:rsidRPr="00885CF9" w:rsidRDefault="00B20F85" w:rsidP="00885CF9">
                      <w:pPr>
                        <w:spacing w:after="6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C113F2" w14:textId="18F9A685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52A638F" w14:textId="40477A20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048491AE" w14:textId="138E9B03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DC80AB2" w14:textId="73804317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0A8EDD1" w14:textId="7D3E3E57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61C116C" w14:textId="2C2F556F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4214FC3" w14:textId="30E0115A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BEF1468" w14:textId="1F430C60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05A21826" w14:textId="7BB6EDB6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964008E" w14:textId="1A18D02F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0B184255" w14:textId="3CB578E4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8EB9DA5" w14:textId="3C508602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831D2FD" w14:textId="03973D46" w:rsidR="00B20F85" w:rsidRDefault="00B20F85">
      <w:pPr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br w:type="page"/>
      </w:r>
    </w:p>
    <w:p w14:paraId="66D77B85" w14:textId="6DC06BE1" w:rsidR="00B11BA4" w:rsidRDefault="00B11BA4" w:rsidP="00B11BA4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9390237" w14:textId="74354A4A" w:rsidR="006A69CF" w:rsidRDefault="006A69CF" w:rsidP="00B11BA4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7296896" w14:textId="38DD8A0E" w:rsidR="006A69CF" w:rsidRDefault="00B06777" w:rsidP="00B11BA4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noProof/>
        </w:rPr>
        <w:drawing>
          <wp:inline distT="0" distB="0" distL="0" distR="0" wp14:anchorId="01355A89" wp14:editId="34957CC6">
            <wp:extent cx="5943600" cy="46869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9CF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AA9BF1" wp14:editId="5EAC7276">
                <wp:simplePos x="0" y="0"/>
                <wp:positionH relativeFrom="column">
                  <wp:posOffset>0</wp:posOffset>
                </wp:positionH>
                <wp:positionV relativeFrom="paragraph">
                  <wp:posOffset>4566757</wp:posOffset>
                </wp:positionV>
                <wp:extent cx="6065520" cy="1878330"/>
                <wp:effectExtent l="0" t="0" r="5080" b="1270"/>
                <wp:wrapNone/>
                <wp:docPr id="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520" cy="1878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953AC" w14:textId="01EF9359" w:rsidR="00B11BA4" w:rsidRPr="0004208B" w:rsidRDefault="006E3E89" w:rsidP="00B11BA4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3E8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C, </w:t>
                            </w:r>
                            <w:r w:rsidRPr="00306F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C930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 w:rsidR="00B11BA4" w:rsidRPr="001074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 High-risk</w:t>
                            </w:r>
                            <w:r w:rsidR="00B11BA4" w:rsidRPr="001074AE">
                              <w:t xml:space="preserve"> </w:t>
                            </w:r>
                            <w:r w:rsidR="00B11BA4" w:rsidRPr="001074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patients, defined by an </w:t>
                            </w:r>
                            <w:r w:rsidR="00B06777" w:rsidRPr="001074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HR</w:t>
                            </w:r>
                            <w:r w:rsidR="00B0677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balancer</w:t>
                            </w:r>
                            <w:r w:rsidR="00B06777" w:rsidRPr="001074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11BA4" w:rsidRPr="001074A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≥0.52</w:t>
                            </w:r>
                            <w:r w:rsidR="00B11BA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tend to have a higher </w:t>
                            </w:r>
                            <w:proofErr w:type="gramStart"/>
                            <w:r w:rsidR="00B11BA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Non-relapse</w:t>
                            </w:r>
                            <w:proofErr w:type="gramEnd"/>
                            <w:r w:rsidR="00B11BA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mortality compared to low-risk patients.</w:t>
                            </w:r>
                          </w:p>
                          <w:p w14:paraId="495BE059" w14:textId="5EF45C20" w:rsidR="00B11BA4" w:rsidRPr="000D0EBE" w:rsidRDefault="00B11BA4" w:rsidP="00B11BA4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Cumulative incidence curves for non-relapse mortality in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HR</w:t>
                            </w:r>
                            <w:r w:rsidR="00B0677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balancer</w:t>
                            </w:r>
                            <w:r w:rsidR="001B0C6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high- and low-risk patients</w:t>
                            </w:r>
                            <w:r w:rsidRP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calculated from CAR T cell transfusion. Significance was assessed by log-rank test.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3D55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b</w:t>
                            </w:r>
                            <w:r w:rsidRPr="00E83D55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reviations:</w:t>
                            </w:r>
                            <w:r w:rsidRPr="00E83D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NRM: non-relapse mortality.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A9BF1" id="_x0000_s1031" type="#_x0000_t202" style="position:absolute;left:0;text-align:left;margin-left:0;margin-top:359.6pt;width:477.6pt;height:147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" fillcolor="white [3201]" stroked="f" strokeweight=".5pt">
                <v:textbox>
                  <w:txbxContent>
                    <w:p w14:paraId="628953AC" w14:textId="01EF9359" w:rsidR="00B11BA4" w:rsidRPr="0004208B" w:rsidRDefault="006E3E89" w:rsidP="00B11BA4">
                      <w:pPr>
                        <w:spacing w:after="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6E3E8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C, </w:t>
                      </w:r>
                      <w:r w:rsidRPr="00306F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="00C930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  <w:r w:rsidR="00B11BA4" w:rsidRPr="001074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 High-risk</w:t>
                      </w:r>
                      <w:r w:rsidR="00B11BA4" w:rsidRPr="001074AE">
                        <w:t xml:space="preserve"> </w:t>
                      </w:r>
                      <w:r w:rsidR="00B11BA4" w:rsidRPr="001074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patients, defined by an </w:t>
                      </w:r>
                      <w:r w:rsidR="00B06777" w:rsidRPr="001074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HR</w:t>
                      </w:r>
                      <w:r w:rsidR="00B0677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balancer</w:t>
                      </w:r>
                      <w:r w:rsidR="00B06777" w:rsidRPr="001074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B11BA4" w:rsidRPr="001074A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≥0.52</w:t>
                      </w:r>
                      <w:r w:rsidR="00B11BA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, tend to have a higher </w:t>
                      </w:r>
                      <w:proofErr w:type="gramStart"/>
                      <w:r w:rsidR="00B11BA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Non-relapse</w:t>
                      </w:r>
                      <w:proofErr w:type="gramEnd"/>
                      <w:r w:rsidR="00B11BA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mortality compared to low-risk patients.</w:t>
                      </w:r>
                    </w:p>
                    <w:p w14:paraId="495BE059" w14:textId="5EF45C20" w:rsidR="00B11BA4" w:rsidRPr="000D0EBE" w:rsidRDefault="00B11BA4" w:rsidP="00B11BA4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Cumulative incidence curves for non-relapse mortality in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HR</w:t>
                      </w:r>
                      <w:r w:rsidR="00B0677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balancer</w:t>
                      </w:r>
                      <w:r w:rsidR="001B0C6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high- and low-risk patients</w:t>
                      </w:r>
                      <w:r w:rsidRP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, calculated from CAR T cell transfusion. Significance was assessed by log-rank test.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E83D55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Ab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b</w:t>
                      </w:r>
                      <w:r w:rsidRPr="00E83D55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reviations:</w:t>
                      </w:r>
                      <w:r w:rsidRPr="00E83D5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NRM: non-relapse mortality.</w:t>
                      </w:r>
                    </w:p>
                  </w:txbxContent>
                </v:textbox>
              </v:shape>
            </w:pict>
          </mc:Fallback>
        </mc:AlternateContent>
      </w:r>
    </w:p>
    <w:p w14:paraId="5C166764" w14:textId="33E9EC10" w:rsidR="00B11BA4" w:rsidRDefault="00B11BA4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3C92636" w14:textId="18482016" w:rsidR="00B11BA4" w:rsidRDefault="00B11BA4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14:paraId="0EF8DA26" w14:textId="4977E662" w:rsidR="00B11BA4" w:rsidRDefault="00B11BA4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C643377" w14:textId="4264A2D8" w:rsidR="00B11BA4" w:rsidRDefault="00B11BA4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14:paraId="05A19548" w14:textId="014C1917" w:rsidR="00B11BA4" w:rsidRDefault="00B11BA4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284AE3A" w14:textId="471CD24B" w:rsidR="00B11BA4" w:rsidRDefault="00B11BA4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7BC5E50" w14:textId="507AFF73" w:rsidR="00B11BA4" w:rsidRDefault="00B11BA4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9A6B732" w14:textId="31AECB00" w:rsidR="00ED65A3" w:rsidRDefault="00ED65A3">
      <w:pPr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br w:type="page"/>
      </w:r>
      <w:r w:rsidR="00B0677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927DAA" wp14:editId="1139B78D">
                <wp:simplePos x="0" y="0"/>
                <wp:positionH relativeFrom="margin">
                  <wp:posOffset>0</wp:posOffset>
                </wp:positionH>
                <wp:positionV relativeFrom="paragraph">
                  <wp:posOffset>6113308</wp:posOffset>
                </wp:positionV>
                <wp:extent cx="6065520" cy="2987040"/>
                <wp:effectExtent l="0" t="0" r="5080" b="0"/>
                <wp:wrapNone/>
                <wp:docPr id="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520" cy="298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4B573" w14:textId="070933E5" w:rsidR="00ED65A3" w:rsidRPr="004478E1" w:rsidRDefault="006E3E89" w:rsidP="00ED65A3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E8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C, </w:t>
                            </w:r>
                            <w:r w:rsidRPr="00306F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C930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="00ED65A3" w:rsidRPr="005E73C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D65A3" w:rsidRPr="004478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Patients from US and Europe, </w:t>
                            </w:r>
                            <w:proofErr w:type="gramStart"/>
                            <w:r w:rsidR="00ED65A3" w:rsidRPr="004478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and also</w:t>
                            </w:r>
                            <w:proofErr w:type="gramEnd"/>
                            <w:r w:rsidR="00ED65A3" w:rsidRPr="004478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Axi-cel vs. Tisa-cel patients, </w:t>
                            </w:r>
                            <w:r w:rsidR="00ED65A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also </w:t>
                            </w:r>
                            <w:r w:rsidR="00ED65A3" w:rsidRPr="004478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differ in their pre-</w:t>
                            </w:r>
                            <w:r w:rsidR="00ED65A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indication </w:t>
                            </w:r>
                            <w:r w:rsidR="00ED65A3" w:rsidRPr="004478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risk profile, as assessed by </w:t>
                            </w:r>
                            <w:r w:rsidR="00B0677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PRE balancer</w:t>
                            </w:r>
                            <w:r w:rsidR="00ED65A3" w:rsidRPr="004478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Progression-free survival for low-risk patients receiving Axi-cel is superior in comparison to </w:t>
                            </w:r>
                            <w:r w:rsidR="00ED65A3" w:rsidRPr="004478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PRE</w:t>
                            </w:r>
                            <w:r w:rsidR="00B0677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balancer</w:t>
                            </w:r>
                            <w:r w:rsidR="00ED65A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65A3" w:rsidRPr="004478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low-risk patients receiving Tisa-cel, whereas the choice of CAR T-cell product does not influence outcomes in </w:t>
                            </w:r>
                            <w:r w:rsidR="00ED65A3" w:rsidRPr="004478E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PRE</w:t>
                            </w:r>
                            <w:r w:rsidR="00B0677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balancer</w:t>
                            </w:r>
                            <w:r w:rsidR="00ED65A3" w:rsidRPr="004478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high-risk patients.</w:t>
                            </w:r>
                            <w:r w:rsidR="00ED65A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HR</w:t>
                            </w:r>
                            <w:r w:rsidR="00B0677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balancer </w:t>
                            </w:r>
                            <w:r w:rsidR="00ED65A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and PRE</w:t>
                            </w:r>
                            <w:r w:rsidR="00B0677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balancer </w:t>
                            </w:r>
                            <w:r w:rsidR="00ED65A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are strongly correlated.</w:t>
                            </w:r>
                          </w:p>
                          <w:p w14:paraId="7271B665" w14:textId="33F1E100" w:rsidR="00ED65A3" w:rsidRPr="00275F60" w:rsidRDefault="00ED65A3" w:rsidP="00ED65A3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5211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A:</w:t>
                            </w:r>
                            <w:r w:rsidRPr="004478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Left: Distribution of European and US patients, according to their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</w:t>
                            </w:r>
                            <w:r w:rsidR="00B06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balancer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78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value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78E1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(including only variables assessed prior to or at CAR-T indication)</w:t>
                            </w:r>
                            <w:r w:rsidRPr="004478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Right: Distribution of patients receiving Axi-cel or Tisa-cel, according to their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</w:t>
                            </w:r>
                            <w:r w:rsidR="00B06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balancer</w:t>
                            </w:r>
                            <w:r w:rsidRPr="004478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value. The cut-off between low- and high-risk patients was chosen for maximum difference in progression-free survival for both groups. Box and whiskers describe the median with 95% confidence intervals. Significance was determined by Mann-Whitney test (*P&lt;0.05). </w:t>
                            </w:r>
                            <w:r w:rsidRPr="004478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B:</w:t>
                            </w:r>
                            <w:r w:rsidRPr="004478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Kaplan-Meier estimates of progression-free survival in patients receiving Axi-cel or Tisa-cel for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</w:t>
                            </w:r>
                            <w:r w:rsidR="00B06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balancer</w:t>
                            </w:r>
                            <w:r w:rsidRPr="004478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low risk (left) and high risk (right) patients, calculated from the day of CAR T-cell infusion. Median survival (when reached) is reported with 95% confidence interval in the respective insets. Significance was assessed by log-rank test.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211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5F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Correlation of HR</w:t>
                            </w:r>
                            <w:r w:rsidR="00B06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balancer</w:t>
                            </w:r>
                            <w:r w:rsidRPr="00275F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PRE</w:t>
                            </w:r>
                            <w:r w:rsidR="00B06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balancer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with patient not responding to bridging therapy highlighted in red. The line represents the simple linear regression of all values (including responders and non-responders to bridging). Correlation coefficient and significance was</w:t>
                            </w:r>
                            <w:r w:rsidRPr="00275F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assessed </w:t>
                            </w:r>
                            <w:r w:rsidRPr="00275F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 Spearman’s test.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7DAA" id="_x0000_s1032" type="#_x0000_t202" style="position:absolute;margin-left:0;margin-top:481.35pt;width:477.6pt;height:235.2pt;z-index:251764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" fillcolor="white [3201]" stroked="f" strokeweight=".5pt">
                <v:textbox>
                  <w:txbxContent>
                    <w:p w14:paraId="01C4B573" w14:textId="070933E5" w:rsidR="00ED65A3" w:rsidRPr="004478E1" w:rsidRDefault="006E3E89" w:rsidP="00ED65A3">
                      <w:pPr>
                        <w:spacing w:after="60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6E3E8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C, </w:t>
                      </w:r>
                      <w:r w:rsidRPr="00306F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="00C930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  <w:r w:rsidR="00ED65A3" w:rsidRPr="005E73C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ED65A3" w:rsidRPr="004478E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Patients from US and Europe, </w:t>
                      </w:r>
                      <w:proofErr w:type="gramStart"/>
                      <w:r w:rsidR="00ED65A3" w:rsidRPr="004478E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and also</w:t>
                      </w:r>
                      <w:proofErr w:type="gramEnd"/>
                      <w:r w:rsidR="00ED65A3" w:rsidRPr="004478E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Axi-cel vs. Tisa-cel patients, </w:t>
                      </w:r>
                      <w:r w:rsidR="00ED65A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also </w:t>
                      </w:r>
                      <w:r w:rsidR="00ED65A3" w:rsidRPr="004478E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differ in their pre-</w:t>
                      </w:r>
                      <w:r w:rsidR="00ED65A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indication </w:t>
                      </w:r>
                      <w:r w:rsidR="00ED65A3" w:rsidRPr="004478E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risk profile, as assessed by </w:t>
                      </w:r>
                      <w:r w:rsidR="00B0677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PRE balancer</w:t>
                      </w:r>
                      <w:r w:rsidR="00ED65A3" w:rsidRPr="004478E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 Progression-free survival for low-risk patients receiving Axi-cel is superior in comparison to </w:t>
                      </w:r>
                      <w:r w:rsidR="00ED65A3" w:rsidRPr="004478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PRE</w:t>
                      </w:r>
                      <w:r w:rsidR="00B0677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balancer</w:t>
                      </w:r>
                      <w:r w:rsidR="00ED65A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ED65A3" w:rsidRPr="004478E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low-risk patients receiving Tisa-cel, whereas the choice of CAR T-cell product does not influence outcomes in </w:t>
                      </w:r>
                      <w:r w:rsidR="00ED65A3" w:rsidRPr="004478E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PRE</w:t>
                      </w:r>
                      <w:r w:rsidR="00B0677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balancer</w:t>
                      </w:r>
                      <w:r w:rsidR="00ED65A3" w:rsidRPr="004478E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high-risk patients.</w:t>
                      </w:r>
                      <w:r w:rsidR="00ED65A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HR</w:t>
                      </w:r>
                      <w:r w:rsidR="00B0677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balancer </w:t>
                      </w:r>
                      <w:r w:rsidR="00ED65A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and PRE</w:t>
                      </w:r>
                      <w:r w:rsidR="00B0677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balancer </w:t>
                      </w:r>
                      <w:r w:rsidR="00ED65A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are strongly correlated.</w:t>
                      </w:r>
                    </w:p>
                    <w:p w14:paraId="7271B665" w14:textId="33F1E100" w:rsidR="00ED65A3" w:rsidRPr="00275F60" w:rsidRDefault="00ED65A3" w:rsidP="00ED65A3">
                      <w:pPr>
                        <w:spacing w:after="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5211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A:</w:t>
                      </w:r>
                      <w:r w:rsidRPr="004478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Left: Distribution of European and US patients, according to their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PRE</w:t>
                      </w:r>
                      <w:r w:rsidR="00B06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balancer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478E1">
                        <w:rPr>
                          <w:rFonts w:ascii="Arial" w:hAnsi="Arial" w:cs="Arial"/>
                          <w:sz w:val="20"/>
                          <w:szCs w:val="20"/>
                        </w:rPr>
                        <w:t>value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478E1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(including only variables assessed prior to or at CAR-T indication)</w:t>
                      </w:r>
                      <w:r w:rsidRPr="004478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Right: Distribution of patients receiving Axi-cel or Tisa-cel, according to their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PRE</w:t>
                      </w:r>
                      <w:r w:rsidR="00B06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balancer</w:t>
                      </w:r>
                      <w:r w:rsidRPr="004478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value. The cut-off between low- and high-risk patients was chosen for maximum difference in progression-free survival for both groups. Box and whiskers describe the median with 95% confidence intervals. Significance was determined by Mann-Whitney test (*P&lt;0.05). </w:t>
                      </w:r>
                      <w:r w:rsidRPr="004478E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B:</w:t>
                      </w:r>
                      <w:r w:rsidRPr="004478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Kaplan-Meier estimates of progression-free survival in patients receiving Axi-cel or Tisa-cel for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PRE</w:t>
                      </w:r>
                      <w:r w:rsidR="00B06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balancer</w:t>
                      </w:r>
                      <w:r w:rsidRPr="004478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low risk (left) and high risk (right) patients, calculated from the day of CAR T-cell infusion. Median survival (when reached) is reported with 95% confidence interval in the respective insets. Significance was assessed by log-rank test.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5211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75F60">
                        <w:rPr>
                          <w:rFonts w:ascii="Arial" w:hAnsi="Arial" w:cs="Arial"/>
                          <w:sz w:val="20"/>
                          <w:szCs w:val="20"/>
                        </w:rPr>
                        <w:t>Correlation of HR</w:t>
                      </w:r>
                      <w:r w:rsidR="00B06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balancer</w:t>
                      </w:r>
                      <w:r w:rsidRPr="00275F6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PRE</w:t>
                      </w:r>
                      <w:r w:rsidR="00B06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balancer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with patient not responding to bridging therapy highlighted in red. The line represents the simple linear regression of all values (including responders and non-responders to bridging). Correlation coefficient and significance was</w:t>
                      </w:r>
                      <w:r w:rsidRPr="00275F6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assessed </w:t>
                      </w:r>
                      <w:r w:rsidRPr="00275F60">
                        <w:rPr>
                          <w:rFonts w:ascii="Arial" w:hAnsi="Arial" w:cs="Arial"/>
                          <w:sz w:val="20"/>
                          <w:szCs w:val="20"/>
                        </w:rPr>
                        <w:t>by Spearman’s test.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777">
        <w:rPr>
          <w:rFonts w:ascii="Arial" w:hAnsi="Arial" w:cs="Arial"/>
          <w:b/>
          <w:bCs/>
          <w:noProof/>
          <w:sz w:val="22"/>
          <w:szCs w:val="22"/>
          <w:lang w:val="de-DE"/>
        </w:rPr>
        <w:drawing>
          <wp:inline distT="0" distB="0" distL="0" distR="0" wp14:anchorId="29ABCABD" wp14:editId="02C4966E">
            <wp:extent cx="5486400" cy="5927188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775" cy="592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EB4E" w14:textId="6628AED7" w:rsidR="00B11BA4" w:rsidRDefault="00B11BA4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A0F0E6A" w14:textId="2F1660D6" w:rsidR="00B20F85" w:rsidRDefault="006B4457" w:rsidP="006B4457">
      <w:pPr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4A4FB8" wp14:editId="7B6018D8">
                <wp:simplePos x="0" y="0"/>
                <wp:positionH relativeFrom="column">
                  <wp:posOffset>0</wp:posOffset>
                </wp:positionH>
                <wp:positionV relativeFrom="paragraph">
                  <wp:posOffset>2563967</wp:posOffset>
                </wp:positionV>
                <wp:extent cx="6065520" cy="1878330"/>
                <wp:effectExtent l="0" t="0" r="5080" b="1270"/>
                <wp:wrapNone/>
                <wp:docPr id="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520" cy="1878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EC098" w14:textId="61517F3C" w:rsidR="00B20F85" w:rsidRPr="005E73C1" w:rsidRDefault="006E3E89" w:rsidP="00B20F85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3E8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C, </w:t>
                            </w:r>
                            <w:r w:rsidRPr="00306F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C9303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  <w:r w:rsidR="00B20F85" w:rsidRPr="005E73C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43B9A" w:rsidRPr="005E73C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Patients receiving no or steroid-only intermediary therapies have significantly superior progression-free and overall survival </w:t>
                            </w:r>
                            <w:r w:rsidR="005E73C1" w:rsidRPr="005E73C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compared to patient</w:t>
                            </w:r>
                            <w:r w:rsidR="005E73C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5E73C1" w:rsidRPr="005E73C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treated with higher-intensity intermediary therapies</w:t>
                            </w:r>
                            <w:r w:rsidR="005E73C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EDE7EC" w14:textId="5FABA373" w:rsidR="005E73C1" w:rsidRPr="008F7E37" w:rsidRDefault="005E73C1" w:rsidP="005E73C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7D8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A-B:</w:t>
                            </w:r>
                            <w:r w:rsidRPr="00667D8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Kaplan-Meier estimates of progression-free (</w:t>
                            </w:r>
                            <w:r w:rsidRPr="00667D8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667D8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 and overall (</w:t>
                            </w:r>
                            <w:r w:rsidRPr="00667D8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</w:t>
                            </w:r>
                            <w:r w:rsidRPr="00667D8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 survival, calculated from the day of CAR T-cell transfusion, for patients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without or with steroid-only intermediary therapies, compared to </w:t>
                            </w:r>
                            <w:r w:rsidRPr="005E73C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patients treated with higher-intensity intermediary therapies</w:t>
                            </w:r>
                            <w:r w:rsidRPr="00667D8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 Median survival (when reached) is reported with 95% confidence interval in the respective insets. Significance was assessed by log-rank test.</w:t>
                            </w:r>
                            <w:r w:rsid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0EBE" w:rsidRPr="000D0EBE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Abbreviations</w:t>
                            </w:r>
                            <w:r w:rsidR="000D0EBE" w:rsidRPr="000D0E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: mo: months.</w:t>
                            </w:r>
                          </w:p>
                          <w:p w14:paraId="374F73DE" w14:textId="7D135D44" w:rsidR="00B20F85" w:rsidRPr="008F7E37" w:rsidRDefault="00B20F85" w:rsidP="005E73C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A4FB8" id="_x0000_s1033" type="#_x0000_t202" style="position:absolute;margin-left:0;margin-top:201.9pt;width:477.6pt;height:147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" fillcolor="white [3201]" stroked="f" strokeweight=".5pt">
                <v:textbox>
                  <w:txbxContent>
                    <w:p w14:paraId="7A9EC098" w14:textId="61517F3C" w:rsidR="00B20F85" w:rsidRPr="005E73C1" w:rsidRDefault="006E3E89" w:rsidP="00B20F85">
                      <w:pPr>
                        <w:spacing w:after="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3E8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C, </w:t>
                      </w:r>
                      <w:r w:rsidRPr="00306F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="00C9303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8</w:t>
                      </w:r>
                      <w:r w:rsidR="00B20F85" w:rsidRPr="005E73C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143B9A" w:rsidRPr="005E73C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Patients receiving no or steroid-only intermediary therapies have significantly superior progression-free and overall survival </w:t>
                      </w:r>
                      <w:r w:rsidR="005E73C1" w:rsidRPr="005E73C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compared to patient</w:t>
                      </w:r>
                      <w:r w:rsidR="005E73C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="005E73C1" w:rsidRPr="005E73C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treated with higher-intensity intermediary therapies</w:t>
                      </w:r>
                      <w:r w:rsidR="005E73C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6AEDE7EC" w14:textId="5FABA373" w:rsidR="005E73C1" w:rsidRPr="008F7E37" w:rsidRDefault="005E73C1" w:rsidP="005E73C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7D8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A-B:</w:t>
                      </w:r>
                      <w:r w:rsidRPr="00667D8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Kaplan-Meier estimates of progression-free (</w:t>
                      </w:r>
                      <w:r w:rsidRPr="00667D8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667D8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 and overall (</w:t>
                      </w:r>
                      <w:r w:rsidRPr="00667D8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</w:t>
                      </w:r>
                      <w:r w:rsidRPr="00667D8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 survival, calculated from the day of CAR T-cell transfusion, for patients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without or with steroid-only intermediary therapies, compared to </w:t>
                      </w:r>
                      <w:r w:rsidRPr="005E73C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patients treated with higher-intensity intermediary therapies</w:t>
                      </w:r>
                      <w:r w:rsidRPr="00667D8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 Median survival (when reached) is reported with 95% confidence interval in the respective insets. Significance was assessed by log-rank test.</w:t>
                      </w:r>
                      <w:r w:rsid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D0EBE" w:rsidRPr="000D0EBE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>Abbreviations</w:t>
                      </w:r>
                      <w:r w:rsidR="000D0EBE" w:rsidRPr="000D0E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: mo: months.</w:t>
                      </w:r>
                    </w:p>
                    <w:p w14:paraId="374F73DE" w14:textId="7D135D44" w:rsidR="00B20F85" w:rsidRPr="008F7E37" w:rsidRDefault="00B20F85" w:rsidP="005E73C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2"/>
          <w:szCs w:val="22"/>
          <w:lang w:val="de-DE"/>
        </w:rPr>
        <w:drawing>
          <wp:inline distT="0" distB="0" distL="0" distR="0" wp14:anchorId="5D0F38C3" wp14:editId="72544BDE">
            <wp:extent cx="5943600" cy="280860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2EB7" w14:textId="3B6865CE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60CCA17" w14:textId="63B1C4AC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5D2DF1D" w14:textId="75C63333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FA7194C" w14:textId="5882567E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B3D1078" w14:textId="10AD8644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6C049ACB" w14:textId="07B35184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054ADA7F" w14:textId="23ACEDB0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C275194" w14:textId="4B717009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9E3D7DE" w14:textId="14DD4E3F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090F7E43" w14:textId="326B8CBC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6302CB35" w14:textId="7D3A91F5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AFE5ED0" w14:textId="1B882051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04C733B" w14:textId="1FED73EE" w:rsidR="00B20F85" w:rsidRDefault="00B20F85" w:rsidP="00175CE9">
      <w:pPr>
        <w:jc w:val="center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CB67D3B" w14:textId="726C3ED3" w:rsidR="00B20F85" w:rsidRDefault="00B20F85" w:rsidP="00B11BA4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14:paraId="06952D16" w14:textId="77777777" w:rsidR="005C61A1" w:rsidRDefault="005C61A1">
      <w:pPr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br w:type="page"/>
      </w:r>
    </w:p>
    <w:p w14:paraId="368A9E66" w14:textId="3F143DD7" w:rsidR="007923FC" w:rsidRPr="007D4BA2" w:rsidRDefault="00ED65A3">
      <w:pPr>
        <w:rPr>
          <w:rFonts w:ascii="Arial" w:hAnsi="Arial" w:cs="Arial"/>
          <w:b/>
          <w:bCs/>
          <w:sz w:val="22"/>
          <w:szCs w:val="22"/>
        </w:rPr>
      </w:pPr>
      <w:r w:rsidRPr="007D4BA2">
        <w:rPr>
          <w:rFonts w:ascii="Arial" w:hAnsi="Arial" w:cs="Arial"/>
          <w:b/>
          <w:bCs/>
          <w:sz w:val="22"/>
          <w:szCs w:val="22"/>
        </w:rPr>
        <w:lastRenderedPageBreak/>
        <w:t xml:space="preserve"> </w:t>
      </w:r>
    </w:p>
    <w:p w14:paraId="0AD3A5AB" w14:textId="51DEAF32" w:rsidR="00D06543" w:rsidRDefault="006E3E89" w:rsidP="00D0654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SDC, </w:t>
      </w:r>
      <w:r w:rsidR="00D06543" w:rsidRPr="00B20F85">
        <w:rPr>
          <w:rFonts w:ascii="Arial" w:hAnsi="Arial" w:cs="Arial"/>
          <w:b/>
          <w:bCs/>
          <w:sz w:val="22"/>
          <w:szCs w:val="22"/>
        </w:rPr>
        <w:t>Tables</w:t>
      </w:r>
    </w:p>
    <w:p w14:paraId="0CB91D20" w14:textId="5EB060F8" w:rsidR="00EB1F3B" w:rsidRPr="006E3E89" w:rsidRDefault="00EB1F3B" w:rsidP="00EB1F3B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SDC, Table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1</w:t>
      </w: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– Treatment intervals</w:t>
      </w:r>
    </w:p>
    <w:p w14:paraId="349EFA2A" w14:textId="77777777" w:rsidR="00EB1F3B" w:rsidRDefault="00EB1F3B" w:rsidP="00EB1F3B">
      <w:pPr>
        <w:rPr>
          <w:rFonts w:cstheme="minorHAnsi"/>
          <w:b/>
          <w:bCs/>
        </w:rPr>
      </w:pPr>
    </w:p>
    <w:tbl>
      <w:tblPr>
        <w:tblStyle w:val="Gitternetztabelle3"/>
        <w:tblW w:w="9072" w:type="dxa"/>
        <w:tblInd w:w="5" w:type="dxa"/>
        <w:tblLook w:val="06A0" w:firstRow="1" w:lastRow="0" w:firstColumn="1" w:lastColumn="0" w:noHBand="1" w:noVBand="1"/>
      </w:tblPr>
      <w:tblGrid>
        <w:gridCol w:w="2688"/>
        <w:gridCol w:w="1655"/>
        <w:gridCol w:w="1656"/>
        <w:gridCol w:w="1656"/>
        <w:gridCol w:w="1417"/>
      </w:tblGrid>
      <w:tr w:rsidR="00EB1F3B" w:rsidRPr="006E3E89" w14:paraId="064CAED6" w14:textId="77777777" w:rsidTr="001E3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88" w:type="dxa"/>
            <w:vAlign w:val="bottom"/>
          </w:tcPr>
          <w:p w14:paraId="51EFF72C" w14:textId="77777777" w:rsidR="00EB1F3B" w:rsidRPr="006E3E89" w:rsidRDefault="00EB1F3B" w:rsidP="001E3220">
            <w:pPr>
              <w:spacing w:after="40" w:line="312" w:lineRule="auto"/>
              <w:rPr>
                <w:rFonts w:ascii="Arial" w:hAnsi="Arial" w:cs="Arial"/>
                <w:color w:val="BFBFBF" w:themeColor="background1" w:themeShade="BF"/>
                <w:sz w:val="21"/>
                <w:szCs w:val="21"/>
                <w:lang w:val="en-US"/>
              </w:rPr>
            </w:pPr>
          </w:p>
        </w:tc>
        <w:tc>
          <w:tcPr>
            <w:tcW w:w="1655" w:type="dxa"/>
            <w:tcBorders>
              <w:right w:val="double" w:sz="4" w:space="0" w:color="auto"/>
            </w:tcBorders>
            <w:vAlign w:val="bottom"/>
          </w:tcPr>
          <w:p w14:paraId="7DEA2B9F" w14:textId="77777777" w:rsidR="00EB1F3B" w:rsidRPr="006E3E89" w:rsidRDefault="00EB1F3B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eastAsia="Roboto" w:hAnsi="Arial" w:cs="Arial"/>
                <w:sz w:val="21"/>
                <w:szCs w:val="21"/>
              </w:rPr>
              <w:t xml:space="preserve">All patients </w:t>
            </w:r>
          </w:p>
          <w:p w14:paraId="1B986E65" w14:textId="77777777" w:rsidR="00EB1F3B" w:rsidRPr="006E3E89" w:rsidRDefault="00EB1F3B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6E3E89">
              <w:rPr>
                <w:rFonts w:ascii="Arial" w:eastAsia="Roboto" w:hAnsi="Arial" w:cs="Arial"/>
                <w:b w:val="0"/>
                <w:bCs w:val="0"/>
                <w:sz w:val="21"/>
                <w:szCs w:val="21"/>
              </w:rPr>
              <w:t>(n=3</w:t>
            </w: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74</w:t>
            </w:r>
            <w:r w:rsidRPr="006E3E89">
              <w:rPr>
                <w:rFonts w:ascii="Arial" w:eastAsia="Roboto" w:hAnsi="Arial" w:cs="Arial"/>
                <w:b w:val="0"/>
                <w:bCs w:val="0"/>
                <w:sz w:val="21"/>
                <w:szCs w:val="21"/>
              </w:rPr>
              <w:t>)</w:t>
            </w:r>
          </w:p>
        </w:tc>
        <w:tc>
          <w:tcPr>
            <w:tcW w:w="1656" w:type="dxa"/>
            <w:tcBorders>
              <w:left w:val="double" w:sz="4" w:space="0" w:color="auto"/>
            </w:tcBorders>
            <w:vAlign w:val="bottom"/>
          </w:tcPr>
          <w:p w14:paraId="41CFE771" w14:textId="77777777" w:rsidR="00EB1F3B" w:rsidRPr="006E3E89" w:rsidRDefault="00EB1F3B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US/Moffitt</w:t>
            </w:r>
          </w:p>
          <w:p w14:paraId="5FEEB037" w14:textId="77777777" w:rsidR="00EB1F3B" w:rsidRPr="006E3E89" w:rsidRDefault="00EB1F3B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(n=199)</w:t>
            </w:r>
          </w:p>
        </w:tc>
        <w:tc>
          <w:tcPr>
            <w:tcW w:w="1656" w:type="dxa"/>
            <w:vAlign w:val="bottom"/>
          </w:tcPr>
          <w:p w14:paraId="62EB29D6" w14:textId="77777777" w:rsidR="00EB1F3B" w:rsidRPr="006E3E89" w:rsidRDefault="00EB1F3B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Europe</w:t>
            </w:r>
          </w:p>
          <w:p w14:paraId="72B0DA3F" w14:textId="77777777" w:rsidR="00EB1F3B" w:rsidRPr="006E3E89" w:rsidRDefault="00EB1F3B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(n=175)</w:t>
            </w:r>
          </w:p>
        </w:tc>
        <w:tc>
          <w:tcPr>
            <w:tcW w:w="1417" w:type="dxa"/>
            <w:vAlign w:val="bottom"/>
          </w:tcPr>
          <w:p w14:paraId="05B1851F" w14:textId="77777777" w:rsidR="00EB1F3B" w:rsidRPr="006E3E89" w:rsidRDefault="00EB1F3B" w:rsidP="001E3220">
            <w:pPr>
              <w:tabs>
                <w:tab w:val="right" w:pos="1166"/>
              </w:tabs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ab/>
              <w:t>p (US vs. EU)</w:t>
            </w:r>
          </w:p>
        </w:tc>
      </w:tr>
      <w:tr w:rsidR="00EB1F3B" w:rsidRPr="006E3E89" w14:paraId="010D7BD6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5"/>
          </w:tcPr>
          <w:p w14:paraId="46DC008A" w14:textId="77777777" w:rsidR="00EB1F3B" w:rsidRPr="006E3E89" w:rsidRDefault="00EB1F3B" w:rsidP="001E3220">
            <w:pPr>
              <w:tabs>
                <w:tab w:val="right" w:pos="8816"/>
              </w:tabs>
              <w:spacing w:after="40" w:line="312" w:lineRule="auto"/>
              <w:jc w:val="lef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</w:rPr>
              <w:t xml:space="preserve">Indication to infusion (days) </w:t>
            </w: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</w:rPr>
              <w:tab/>
              <w:t>&lt;0.0001</w:t>
            </w:r>
          </w:p>
        </w:tc>
      </w:tr>
      <w:tr w:rsidR="00EB1F3B" w:rsidRPr="006E3E89" w14:paraId="710F95F7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7D548214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color w:val="BFBFBF" w:themeColor="background1" w:themeShade="BF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Mean (SEM)</w:t>
            </w:r>
            <w:r w:rsidRPr="006E3E89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1655" w:type="dxa"/>
            <w:tcBorders>
              <w:right w:val="double" w:sz="4" w:space="0" w:color="auto"/>
            </w:tcBorders>
          </w:tcPr>
          <w:p w14:paraId="2E0F2218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57.7 (1.3)</w:t>
            </w:r>
          </w:p>
        </w:tc>
        <w:tc>
          <w:tcPr>
            <w:tcW w:w="1656" w:type="dxa"/>
            <w:tcBorders>
              <w:left w:val="double" w:sz="4" w:space="0" w:color="auto"/>
            </w:tcBorders>
          </w:tcPr>
          <w:p w14:paraId="159BB63B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50.2 (2.2)</w:t>
            </w:r>
          </w:p>
        </w:tc>
        <w:tc>
          <w:tcPr>
            <w:tcW w:w="1656" w:type="dxa"/>
          </w:tcPr>
          <w:p w14:paraId="11AAC22A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66.2 (1.2)</w:t>
            </w:r>
          </w:p>
        </w:tc>
        <w:tc>
          <w:tcPr>
            <w:tcW w:w="1417" w:type="dxa"/>
            <w:tcBorders>
              <w:bottom w:val="nil"/>
            </w:tcBorders>
          </w:tcPr>
          <w:p w14:paraId="5EE778BB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EB1F3B" w:rsidRPr="006E3E89" w14:paraId="151C407A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7DF9247B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color w:val="BFBFBF" w:themeColor="background1" w:themeShade="BF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Median</w:t>
            </w:r>
          </w:p>
        </w:tc>
        <w:tc>
          <w:tcPr>
            <w:tcW w:w="1655" w:type="dxa"/>
            <w:tcBorders>
              <w:right w:val="double" w:sz="4" w:space="0" w:color="auto"/>
            </w:tcBorders>
          </w:tcPr>
          <w:p w14:paraId="59F97758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51</w:t>
            </w:r>
          </w:p>
        </w:tc>
        <w:tc>
          <w:tcPr>
            <w:tcW w:w="1656" w:type="dxa"/>
            <w:tcBorders>
              <w:left w:val="double" w:sz="4" w:space="0" w:color="auto"/>
            </w:tcBorders>
          </w:tcPr>
          <w:p w14:paraId="52646421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48</w:t>
            </w:r>
          </w:p>
        </w:tc>
        <w:tc>
          <w:tcPr>
            <w:tcW w:w="1656" w:type="dxa"/>
          </w:tcPr>
          <w:p w14:paraId="706214CF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57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DC54CB2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EB1F3B" w:rsidRPr="006E3E89" w14:paraId="700B57EF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77E24CE0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IQR</w:t>
            </w:r>
          </w:p>
        </w:tc>
        <w:tc>
          <w:tcPr>
            <w:tcW w:w="1655" w:type="dxa"/>
            <w:tcBorders>
              <w:right w:val="double" w:sz="4" w:space="0" w:color="auto"/>
            </w:tcBorders>
          </w:tcPr>
          <w:p w14:paraId="3FAC354C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42 - 64</w:t>
            </w:r>
          </w:p>
        </w:tc>
        <w:tc>
          <w:tcPr>
            <w:tcW w:w="1656" w:type="dxa"/>
            <w:tcBorders>
              <w:left w:val="double" w:sz="4" w:space="0" w:color="auto"/>
            </w:tcBorders>
          </w:tcPr>
          <w:p w14:paraId="4C856B44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41 - 56</w:t>
            </w:r>
          </w:p>
        </w:tc>
        <w:tc>
          <w:tcPr>
            <w:tcW w:w="1656" w:type="dxa"/>
          </w:tcPr>
          <w:p w14:paraId="3570F48F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48 - 75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962D828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EB1F3B" w:rsidRPr="006E3E89" w14:paraId="4AF97296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tcBorders>
              <w:bottom w:val="single" w:sz="4" w:space="0" w:color="auto"/>
            </w:tcBorders>
          </w:tcPr>
          <w:p w14:paraId="7E39711E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Min - Max</w:t>
            </w:r>
          </w:p>
        </w:tc>
        <w:tc>
          <w:tcPr>
            <w:tcW w:w="1655" w:type="dxa"/>
            <w:tcBorders>
              <w:bottom w:val="single" w:sz="4" w:space="0" w:color="auto"/>
              <w:right w:val="double" w:sz="4" w:space="0" w:color="auto"/>
            </w:tcBorders>
          </w:tcPr>
          <w:p w14:paraId="7CB5917E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28 - 229</w:t>
            </w:r>
          </w:p>
        </w:tc>
        <w:tc>
          <w:tcPr>
            <w:tcW w:w="1656" w:type="dxa"/>
            <w:tcBorders>
              <w:left w:val="double" w:sz="4" w:space="0" w:color="auto"/>
              <w:bottom w:val="single" w:sz="4" w:space="0" w:color="auto"/>
            </w:tcBorders>
          </w:tcPr>
          <w:p w14:paraId="5C9B89E1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28 - 201</w:t>
            </w:r>
          </w:p>
        </w:tc>
        <w:tc>
          <w:tcPr>
            <w:tcW w:w="1656" w:type="dxa"/>
            <w:tcBorders>
              <w:bottom w:val="single" w:sz="4" w:space="0" w:color="auto"/>
            </w:tcBorders>
          </w:tcPr>
          <w:p w14:paraId="5605675C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33 - 229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285B2078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EB1F3B" w:rsidRPr="006E3E89" w14:paraId="49C1FC2E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5"/>
            <w:tcBorders>
              <w:top w:val="single" w:sz="4" w:space="0" w:color="auto"/>
            </w:tcBorders>
          </w:tcPr>
          <w:p w14:paraId="5EADB9E9" w14:textId="77777777" w:rsidR="00EB1F3B" w:rsidRPr="006E3E89" w:rsidRDefault="00EB1F3B" w:rsidP="001E3220">
            <w:pPr>
              <w:tabs>
                <w:tab w:val="right" w:pos="8825"/>
              </w:tabs>
              <w:spacing w:after="40" w:line="312" w:lineRule="auto"/>
              <w:jc w:val="lef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</w:rPr>
              <w:t>Indication to apheresis (days)</w:t>
            </w: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</w:rPr>
              <w:tab/>
              <w:t>&lt; 0.0001</w:t>
            </w:r>
          </w:p>
        </w:tc>
      </w:tr>
      <w:tr w:rsidR="00EB1F3B" w:rsidRPr="006E3E89" w14:paraId="36D02AEB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31F45710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Mean (SEM)</w:t>
            </w:r>
            <w:r w:rsidRPr="006E3E89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1655" w:type="dxa"/>
            <w:tcBorders>
              <w:right w:val="double" w:sz="4" w:space="0" w:color="auto"/>
            </w:tcBorders>
          </w:tcPr>
          <w:p w14:paraId="05BCDF4D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18.6 (1.0)</w:t>
            </w:r>
          </w:p>
        </w:tc>
        <w:tc>
          <w:tcPr>
            <w:tcW w:w="1656" w:type="dxa"/>
            <w:tcBorders>
              <w:left w:val="double" w:sz="4" w:space="0" w:color="auto"/>
            </w:tcBorders>
          </w:tcPr>
          <w:p w14:paraId="39CF4253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19.9 (1.1)</w:t>
            </w:r>
          </w:p>
        </w:tc>
        <w:tc>
          <w:tcPr>
            <w:tcW w:w="1656" w:type="dxa"/>
          </w:tcPr>
          <w:p w14:paraId="5F302A37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17.1 (1.7)</w:t>
            </w:r>
          </w:p>
        </w:tc>
        <w:tc>
          <w:tcPr>
            <w:tcW w:w="1417" w:type="dxa"/>
            <w:tcBorders>
              <w:bottom w:val="nil"/>
            </w:tcBorders>
          </w:tcPr>
          <w:p w14:paraId="55D0656F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EB1F3B" w:rsidRPr="006E3E89" w14:paraId="30895CEB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6B0B39CF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Median</w:t>
            </w:r>
          </w:p>
        </w:tc>
        <w:tc>
          <w:tcPr>
            <w:tcW w:w="1655" w:type="dxa"/>
            <w:tcBorders>
              <w:right w:val="double" w:sz="4" w:space="0" w:color="auto"/>
            </w:tcBorders>
          </w:tcPr>
          <w:p w14:paraId="28B59C22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15</w:t>
            </w:r>
          </w:p>
        </w:tc>
        <w:tc>
          <w:tcPr>
            <w:tcW w:w="1656" w:type="dxa"/>
            <w:tcBorders>
              <w:left w:val="double" w:sz="4" w:space="0" w:color="auto"/>
            </w:tcBorders>
          </w:tcPr>
          <w:p w14:paraId="5A338769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1656" w:type="dxa"/>
          </w:tcPr>
          <w:p w14:paraId="05DEB6CB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C172F96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EB1F3B" w:rsidRPr="006E3E89" w14:paraId="2417DA27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20BE6B87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IQR</w:t>
            </w:r>
          </w:p>
        </w:tc>
        <w:tc>
          <w:tcPr>
            <w:tcW w:w="1655" w:type="dxa"/>
            <w:tcBorders>
              <w:right w:val="double" w:sz="4" w:space="0" w:color="auto"/>
            </w:tcBorders>
          </w:tcPr>
          <w:p w14:paraId="442FF0CF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6 - 23.3</w:t>
            </w:r>
          </w:p>
        </w:tc>
        <w:tc>
          <w:tcPr>
            <w:tcW w:w="1656" w:type="dxa"/>
            <w:tcBorders>
              <w:left w:val="double" w:sz="4" w:space="0" w:color="auto"/>
            </w:tcBorders>
          </w:tcPr>
          <w:p w14:paraId="7E361C13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11 - 24</w:t>
            </w:r>
          </w:p>
        </w:tc>
        <w:tc>
          <w:tcPr>
            <w:tcW w:w="1656" w:type="dxa"/>
          </w:tcPr>
          <w:p w14:paraId="7CDFEDCC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3 - 22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5B2B6B4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EB1F3B" w:rsidRPr="006E3E89" w14:paraId="68D9576F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tcBorders>
              <w:bottom w:val="single" w:sz="4" w:space="0" w:color="auto"/>
            </w:tcBorders>
          </w:tcPr>
          <w:p w14:paraId="4218DDF0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Min - Max</w:t>
            </w:r>
          </w:p>
        </w:tc>
        <w:tc>
          <w:tcPr>
            <w:tcW w:w="1655" w:type="dxa"/>
            <w:tcBorders>
              <w:bottom w:val="single" w:sz="4" w:space="0" w:color="auto"/>
              <w:right w:val="double" w:sz="4" w:space="0" w:color="auto"/>
            </w:tcBorders>
          </w:tcPr>
          <w:p w14:paraId="4F071CE0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0 - 161</w:t>
            </w:r>
          </w:p>
        </w:tc>
        <w:tc>
          <w:tcPr>
            <w:tcW w:w="1656" w:type="dxa"/>
            <w:tcBorders>
              <w:left w:val="double" w:sz="4" w:space="0" w:color="auto"/>
              <w:bottom w:val="single" w:sz="4" w:space="0" w:color="auto"/>
            </w:tcBorders>
          </w:tcPr>
          <w:p w14:paraId="5EEB8B4D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2 - 161</w:t>
            </w:r>
          </w:p>
        </w:tc>
        <w:tc>
          <w:tcPr>
            <w:tcW w:w="1656" w:type="dxa"/>
            <w:tcBorders>
              <w:bottom w:val="single" w:sz="4" w:space="0" w:color="auto"/>
            </w:tcBorders>
          </w:tcPr>
          <w:p w14:paraId="0D4BDF38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0 - 127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32BF1D71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EB1F3B" w:rsidRPr="006E3E89" w14:paraId="0761C8CD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5"/>
            <w:tcBorders>
              <w:top w:val="single" w:sz="4" w:space="0" w:color="auto"/>
            </w:tcBorders>
          </w:tcPr>
          <w:p w14:paraId="74FC1FED" w14:textId="77777777" w:rsidR="00EB1F3B" w:rsidRPr="006E3E89" w:rsidRDefault="00EB1F3B" w:rsidP="001E3220">
            <w:pPr>
              <w:tabs>
                <w:tab w:val="right" w:pos="8825"/>
              </w:tabs>
              <w:spacing w:after="40" w:line="312" w:lineRule="auto"/>
              <w:jc w:val="lef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  <w:lang w:val="en-US"/>
              </w:rPr>
              <w:t xml:space="preserve">Apheresis to infusion (‘vein to </w:t>
            </w:r>
            <w:proofErr w:type="gramStart"/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  <w:lang w:val="en-US"/>
              </w:rPr>
              <w:t>vein‘</w:t>
            </w:r>
            <w:proofErr w:type="gramEnd"/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  <w:lang w:val="en-US"/>
              </w:rPr>
              <w:t>, days)</w:t>
            </w: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  <w:lang w:val="en-US"/>
              </w:rPr>
              <w:tab/>
              <w:t>&lt; 0.0001</w:t>
            </w:r>
          </w:p>
        </w:tc>
      </w:tr>
      <w:tr w:rsidR="00EB1F3B" w:rsidRPr="006E3E89" w14:paraId="235454C3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4D612422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Mean (SEM)</w:t>
            </w:r>
            <w:r w:rsidRPr="006E3E89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1655" w:type="dxa"/>
            <w:tcBorders>
              <w:right w:val="double" w:sz="4" w:space="0" w:color="auto"/>
            </w:tcBorders>
          </w:tcPr>
          <w:p w14:paraId="22B40704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39.1 (1.0)</w:t>
            </w:r>
          </w:p>
        </w:tc>
        <w:tc>
          <w:tcPr>
            <w:tcW w:w="1656" w:type="dxa"/>
            <w:tcBorders>
              <w:left w:val="double" w:sz="4" w:space="0" w:color="auto"/>
            </w:tcBorders>
          </w:tcPr>
          <w:p w14:paraId="6F7DF60C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30.3 (0.5)</w:t>
            </w:r>
          </w:p>
        </w:tc>
        <w:tc>
          <w:tcPr>
            <w:tcW w:w="1656" w:type="dxa"/>
          </w:tcPr>
          <w:p w14:paraId="4E552325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49.2 (1.7)</w:t>
            </w:r>
          </w:p>
        </w:tc>
        <w:tc>
          <w:tcPr>
            <w:tcW w:w="1417" w:type="dxa"/>
            <w:tcBorders>
              <w:bottom w:val="nil"/>
            </w:tcBorders>
          </w:tcPr>
          <w:p w14:paraId="333214CA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EB1F3B" w:rsidRPr="006E3E89" w14:paraId="5DACEABE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75448C56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Median</w:t>
            </w:r>
          </w:p>
        </w:tc>
        <w:tc>
          <w:tcPr>
            <w:tcW w:w="1655" w:type="dxa"/>
            <w:tcBorders>
              <w:right w:val="double" w:sz="4" w:space="0" w:color="auto"/>
            </w:tcBorders>
          </w:tcPr>
          <w:p w14:paraId="61C8B4BA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34</w:t>
            </w:r>
          </w:p>
        </w:tc>
        <w:tc>
          <w:tcPr>
            <w:tcW w:w="1656" w:type="dxa"/>
            <w:tcBorders>
              <w:left w:val="double" w:sz="4" w:space="0" w:color="auto"/>
            </w:tcBorders>
          </w:tcPr>
          <w:p w14:paraId="6BCA3C94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28</w:t>
            </w:r>
          </w:p>
        </w:tc>
        <w:tc>
          <w:tcPr>
            <w:tcW w:w="1656" w:type="dxa"/>
          </w:tcPr>
          <w:p w14:paraId="4882E104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43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FFF3BFB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EB1F3B" w:rsidRPr="006E3E89" w14:paraId="5FD9684D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4DB65DB4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IQR</w:t>
            </w:r>
          </w:p>
        </w:tc>
        <w:tc>
          <w:tcPr>
            <w:tcW w:w="1655" w:type="dxa"/>
            <w:tcBorders>
              <w:right w:val="double" w:sz="4" w:space="0" w:color="auto"/>
            </w:tcBorders>
          </w:tcPr>
          <w:p w14:paraId="6835A4B2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28 - 45</w:t>
            </w:r>
          </w:p>
        </w:tc>
        <w:tc>
          <w:tcPr>
            <w:tcW w:w="1656" w:type="dxa"/>
            <w:tcBorders>
              <w:left w:val="double" w:sz="4" w:space="0" w:color="auto"/>
            </w:tcBorders>
          </w:tcPr>
          <w:p w14:paraId="6CFC267D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26 - 32</w:t>
            </w:r>
          </w:p>
        </w:tc>
        <w:tc>
          <w:tcPr>
            <w:tcW w:w="1656" w:type="dxa"/>
          </w:tcPr>
          <w:p w14:paraId="205D83D8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37 - 55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E97C7D1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EB1F3B" w:rsidRPr="006E3E89" w14:paraId="40046D9E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tcBorders>
              <w:bottom w:val="single" w:sz="4" w:space="0" w:color="auto"/>
            </w:tcBorders>
          </w:tcPr>
          <w:p w14:paraId="328347D6" w14:textId="77777777" w:rsidR="00EB1F3B" w:rsidRPr="006E3E89" w:rsidRDefault="00EB1F3B" w:rsidP="001E3220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Min - Max</w:t>
            </w:r>
          </w:p>
        </w:tc>
        <w:tc>
          <w:tcPr>
            <w:tcW w:w="1655" w:type="dxa"/>
            <w:tcBorders>
              <w:bottom w:val="single" w:sz="4" w:space="0" w:color="auto"/>
              <w:right w:val="double" w:sz="4" w:space="0" w:color="auto"/>
            </w:tcBorders>
          </w:tcPr>
          <w:p w14:paraId="7167ABDD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20 - 225</w:t>
            </w:r>
          </w:p>
        </w:tc>
        <w:tc>
          <w:tcPr>
            <w:tcW w:w="1656" w:type="dxa"/>
            <w:tcBorders>
              <w:left w:val="double" w:sz="4" w:space="0" w:color="auto"/>
              <w:bottom w:val="single" w:sz="4" w:space="0" w:color="auto"/>
            </w:tcBorders>
          </w:tcPr>
          <w:p w14:paraId="3139364C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20 - 61</w:t>
            </w:r>
          </w:p>
        </w:tc>
        <w:tc>
          <w:tcPr>
            <w:tcW w:w="1656" w:type="dxa"/>
            <w:tcBorders>
              <w:bottom w:val="single" w:sz="4" w:space="0" w:color="auto"/>
            </w:tcBorders>
          </w:tcPr>
          <w:p w14:paraId="7AE4C292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27 - 255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35094763" w14:textId="77777777" w:rsidR="00EB1F3B" w:rsidRPr="006E3E89" w:rsidRDefault="00EB1F3B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</w:tbl>
    <w:p w14:paraId="04EE1946" w14:textId="77777777" w:rsidR="00EB1F3B" w:rsidRDefault="00EB1F3B" w:rsidP="00EB1F3B">
      <w:pPr>
        <w:rPr>
          <w:rFonts w:cstheme="minorHAnsi"/>
          <w:i/>
          <w:iCs/>
          <w:sz w:val="21"/>
          <w:szCs w:val="21"/>
        </w:rPr>
      </w:pPr>
    </w:p>
    <w:p w14:paraId="3D4C41DC" w14:textId="12888CD5" w:rsidR="00EB1F3B" w:rsidRDefault="00EB1F3B" w:rsidP="00EB1F3B">
      <w:pPr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SDC, </w:t>
      </w:r>
      <w:r w:rsidRPr="0032355D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Table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1</w:t>
      </w:r>
      <w:r w:rsidRPr="0032355D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: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Region-specific treatment intervals </w:t>
      </w:r>
    </w:p>
    <w:p w14:paraId="31876DF0" w14:textId="77777777" w:rsidR="00EB1F3B" w:rsidRPr="0032355D" w:rsidRDefault="00EB1F3B" w:rsidP="00EB1F3B">
      <w:pPr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Time intervals between indication, </w:t>
      </w:r>
      <w:proofErr w:type="gramStart"/>
      <w:r>
        <w:rPr>
          <w:rFonts w:ascii="Arial" w:eastAsia="Times New Roman" w:hAnsi="Arial" w:cs="Arial"/>
          <w:color w:val="000000"/>
          <w:sz w:val="22"/>
          <w:szCs w:val="22"/>
        </w:rPr>
        <w:t>apheresis</w:t>
      </w:r>
      <w:proofErr w:type="gramEnd"/>
      <w:r>
        <w:rPr>
          <w:rFonts w:ascii="Arial" w:eastAsia="Times New Roman" w:hAnsi="Arial" w:cs="Arial"/>
          <w:color w:val="000000"/>
          <w:sz w:val="22"/>
          <w:szCs w:val="22"/>
        </w:rPr>
        <w:t xml:space="preserve"> and infusion timepoints are given in days. </w:t>
      </w:r>
      <w:r w:rsidRPr="0032355D">
        <w:rPr>
          <w:rFonts w:ascii="Arial" w:eastAsia="Times New Roman" w:hAnsi="Arial" w:cs="Arial"/>
          <w:color w:val="000000"/>
          <w:sz w:val="22"/>
          <w:szCs w:val="22"/>
        </w:rPr>
        <w:t>Statistical significance (p &lt; 0.05) between US and European patients was determined by Mann-Whitney test.</w:t>
      </w:r>
    </w:p>
    <w:p w14:paraId="66F4006E" w14:textId="6F542969" w:rsidR="00EB1F3B" w:rsidRDefault="00EB1F3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20C2C58C" w14:textId="4AE6400E" w:rsidR="0073149C" w:rsidRPr="006E3E89" w:rsidRDefault="0073149C" w:rsidP="0073149C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lastRenderedPageBreak/>
        <w:t xml:space="preserve">SDC, Table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2</w:t>
      </w: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–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Dynamic</w:t>
      </w: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p</w:t>
      </w: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>atients‘ characteristics</w:t>
      </w:r>
      <w:proofErr w:type="gramEnd"/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by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Region, additional timepoints</w:t>
      </w:r>
    </w:p>
    <w:p w14:paraId="77566317" w14:textId="77777777" w:rsidR="0073149C" w:rsidRDefault="0073149C" w:rsidP="0073149C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Gitternetztabelle3"/>
        <w:tblW w:w="0" w:type="auto"/>
        <w:tblLook w:val="06A0" w:firstRow="1" w:lastRow="0" w:firstColumn="1" w:lastColumn="0" w:noHBand="1" w:noVBand="1"/>
      </w:tblPr>
      <w:tblGrid>
        <w:gridCol w:w="2121"/>
        <w:gridCol w:w="567"/>
        <w:gridCol w:w="1860"/>
        <w:gridCol w:w="1766"/>
        <w:gridCol w:w="1766"/>
        <w:gridCol w:w="992"/>
      </w:tblGrid>
      <w:tr w:rsidR="0073149C" w:rsidRPr="00D32D10" w14:paraId="2A3EE315" w14:textId="77777777" w:rsidTr="001E3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1" w:type="dxa"/>
            <w:vAlign w:val="bottom"/>
          </w:tcPr>
          <w:p w14:paraId="48245DDE" w14:textId="77777777" w:rsidR="0073149C" w:rsidRPr="001E3220" w:rsidRDefault="0073149C" w:rsidP="001E3220">
            <w:pPr>
              <w:spacing w:after="40" w:line="312" w:lineRule="auto"/>
              <w:rPr>
                <w:rFonts w:ascii="Arial" w:hAnsi="Arial" w:cs="Arial"/>
                <w:b w:val="0"/>
                <w:bCs w:val="0"/>
                <w:i w:val="0"/>
                <w:iCs w:val="0"/>
                <w:sz w:val="18"/>
                <w:szCs w:val="18"/>
                <w:lang w:val="en-US"/>
              </w:rPr>
            </w:pPr>
          </w:p>
          <w:p w14:paraId="3631F8DF" w14:textId="77777777" w:rsidR="0073149C" w:rsidRPr="001E3220" w:rsidRDefault="0073149C" w:rsidP="001E3220">
            <w:pPr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  <w:vAlign w:val="bottom"/>
          </w:tcPr>
          <w:p w14:paraId="36255A14" w14:textId="77777777" w:rsidR="0073149C" w:rsidRPr="00D32D10" w:rsidRDefault="0073149C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D32D10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n</w:t>
            </w:r>
          </w:p>
        </w:tc>
        <w:tc>
          <w:tcPr>
            <w:tcW w:w="1860" w:type="dxa"/>
            <w:tcBorders>
              <w:right w:val="double" w:sz="4" w:space="0" w:color="auto"/>
            </w:tcBorders>
            <w:vAlign w:val="bottom"/>
          </w:tcPr>
          <w:p w14:paraId="51FD8DA7" w14:textId="77777777" w:rsidR="0073149C" w:rsidRPr="00D32D10" w:rsidRDefault="0073149C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eastAsia="Roboto" w:hAnsi="Arial" w:cs="Arial"/>
                <w:sz w:val="18"/>
                <w:szCs w:val="18"/>
              </w:rPr>
              <w:t xml:space="preserve">All patients </w:t>
            </w:r>
          </w:p>
          <w:p w14:paraId="07301816" w14:textId="77777777" w:rsidR="0073149C" w:rsidRPr="00D32D10" w:rsidRDefault="0073149C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32D10">
              <w:rPr>
                <w:rFonts w:ascii="Arial" w:eastAsia="Roboto" w:hAnsi="Arial" w:cs="Arial"/>
                <w:b w:val="0"/>
                <w:bCs w:val="0"/>
                <w:sz w:val="18"/>
                <w:szCs w:val="18"/>
              </w:rPr>
              <w:t>(n=3</w:t>
            </w:r>
            <w:r w:rsidRPr="00D32D10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74</w:t>
            </w:r>
            <w:r w:rsidRPr="00D32D10">
              <w:rPr>
                <w:rFonts w:ascii="Arial" w:eastAsia="Roboto" w:hAnsi="Arial" w:cs="Arial"/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1766" w:type="dxa"/>
            <w:tcBorders>
              <w:left w:val="double" w:sz="4" w:space="0" w:color="auto"/>
            </w:tcBorders>
            <w:vAlign w:val="bottom"/>
          </w:tcPr>
          <w:p w14:paraId="5B18C45B" w14:textId="77777777" w:rsidR="0073149C" w:rsidRPr="00D32D10" w:rsidRDefault="0073149C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US/Moffitt</w:t>
            </w:r>
          </w:p>
          <w:p w14:paraId="6031B205" w14:textId="77777777" w:rsidR="0073149C" w:rsidRPr="00D32D10" w:rsidRDefault="0073149C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(n=199)</w:t>
            </w:r>
          </w:p>
        </w:tc>
        <w:tc>
          <w:tcPr>
            <w:tcW w:w="1766" w:type="dxa"/>
            <w:vAlign w:val="bottom"/>
          </w:tcPr>
          <w:p w14:paraId="6D875749" w14:textId="77777777" w:rsidR="0073149C" w:rsidRPr="00D32D10" w:rsidRDefault="0073149C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Europe</w:t>
            </w:r>
          </w:p>
          <w:p w14:paraId="7C2C73D1" w14:textId="77777777" w:rsidR="0073149C" w:rsidRPr="00D32D10" w:rsidRDefault="0073149C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(n=175)</w:t>
            </w:r>
          </w:p>
        </w:tc>
        <w:tc>
          <w:tcPr>
            <w:tcW w:w="992" w:type="dxa"/>
            <w:vAlign w:val="bottom"/>
          </w:tcPr>
          <w:p w14:paraId="50641322" w14:textId="77777777" w:rsidR="0073149C" w:rsidRPr="00D32D10" w:rsidRDefault="0073149C" w:rsidP="001E3220">
            <w:pPr>
              <w:spacing w:after="40" w:line="312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p</w:t>
            </w:r>
          </w:p>
        </w:tc>
      </w:tr>
      <w:tr w:rsidR="0073149C" w:rsidRPr="00D32D10" w14:paraId="4463DAEA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6"/>
            <w:tcBorders>
              <w:top w:val="single" w:sz="4" w:space="0" w:color="auto"/>
            </w:tcBorders>
          </w:tcPr>
          <w:p w14:paraId="499A6D67" w14:textId="77777777" w:rsidR="0073149C" w:rsidRPr="001E3220" w:rsidRDefault="0073149C" w:rsidP="001E3220">
            <w:pPr>
              <w:spacing w:after="40" w:line="312" w:lineRule="auto"/>
              <w:jc w:val="left"/>
              <w:rPr>
                <w:rFonts w:ascii="Arial" w:hAnsi="Arial" w:cs="Arial"/>
                <w:b/>
                <w:bCs/>
                <w:i w:val="0"/>
                <w:iCs w:val="0"/>
                <w:sz w:val="18"/>
                <w:szCs w:val="18"/>
                <w:lang w:val="en-US"/>
              </w:rPr>
            </w:pPr>
            <w:r w:rsidRPr="001E3220">
              <w:rPr>
                <w:rFonts w:ascii="Arial" w:hAnsi="Arial" w:cs="Arial"/>
                <w:b/>
                <w:bCs/>
                <w:i w:val="0"/>
                <w:iCs w:val="0"/>
                <w:sz w:val="18"/>
                <w:szCs w:val="18"/>
                <w:lang w:val="en-US"/>
              </w:rPr>
              <w:t xml:space="preserve">Inflammation Markers at indication </w:t>
            </w:r>
            <w:r w:rsidRPr="001E3220">
              <w:rPr>
                <w:rFonts w:ascii="Arial" w:eastAsia="Roboto" w:hAnsi="Arial" w:cs="Arial"/>
                <w:b/>
                <w:bCs/>
                <w:i w:val="0"/>
                <w:iCs w:val="0"/>
                <w:sz w:val="18"/>
                <w:szCs w:val="18"/>
                <w:lang w:val="en-US"/>
              </w:rPr>
              <w:t>for CAR T therapy</w:t>
            </w:r>
          </w:p>
        </w:tc>
      </w:tr>
      <w:tr w:rsidR="0073149C" w:rsidRPr="00D32D10" w14:paraId="3FF3E85B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45D21C53" w14:textId="77777777" w:rsidR="0073149C" w:rsidRPr="001E3220" w:rsidRDefault="0073149C" w:rsidP="001E3220">
            <w:pPr>
              <w:tabs>
                <w:tab w:val="left" w:pos="175"/>
              </w:tabs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3220">
              <w:rPr>
                <w:rFonts w:ascii="Arial" w:hAnsi="Arial" w:cs="Arial"/>
                <w:sz w:val="18"/>
                <w:szCs w:val="18"/>
                <w:lang w:val="en-US"/>
              </w:rPr>
              <w:tab/>
              <w:t>CRP (mg/dl, median, range)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8956369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309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06138306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1.1 (0.03-2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D32D10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D32D10">
              <w:rPr>
                <w:rFonts w:ascii="Arial" w:hAnsi="Arial" w:cs="Arial"/>
                <w:sz w:val="18"/>
                <w:szCs w:val="18"/>
              </w:rPr>
              <w:t>8)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3596226C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D32D10">
              <w:rPr>
                <w:rFonts w:ascii="Arial" w:hAnsi="Arial" w:cs="Arial"/>
                <w:sz w:val="18"/>
                <w:szCs w:val="18"/>
              </w:rPr>
              <w:t xml:space="preserve"> (0.0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D32D10">
              <w:rPr>
                <w:rFonts w:ascii="Arial" w:hAnsi="Arial" w:cs="Arial"/>
                <w:sz w:val="18"/>
                <w:szCs w:val="18"/>
              </w:rPr>
              <w:t>-2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D32D10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D32D10">
              <w:rPr>
                <w:rFonts w:ascii="Arial" w:hAnsi="Arial" w:cs="Arial"/>
                <w:sz w:val="18"/>
                <w:szCs w:val="18"/>
              </w:rPr>
              <w:t>8)</w:t>
            </w:r>
          </w:p>
        </w:tc>
        <w:tc>
          <w:tcPr>
            <w:tcW w:w="1766" w:type="dxa"/>
          </w:tcPr>
          <w:p w14:paraId="5BB34746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D32D10">
              <w:rPr>
                <w:rFonts w:ascii="Arial" w:hAnsi="Arial" w:cs="Arial"/>
                <w:sz w:val="18"/>
                <w:szCs w:val="18"/>
              </w:rPr>
              <w:t xml:space="preserve"> (0.0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Pr="00D32D10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D32D10">
              <w:rPr>
                <w:rFonts w:ascii="Arial" w:hAnsi="Arial" w:cs="Arial"/>
                <w:sz w:val="18"/>
                <w:szCs w:val="18"/>
              </w:rPr>
              <w:t>0)</w:t>
            </w:r>
          </w:p>
        </w:tc>
        <w:tc>
          <w:tcPr>
            <w:tcW w:w="992" w:type="dxa"/>
          </w:tcPr>
          <w:p w14:paraId="07C2318F" w14:textId="77777777" w:rsidR="0073149C" w:rsidRPr="00D32D10" w:rsidRDefault="0073149C" w:rsidP="001E3220">
            <w:pPr>
              <w:spacing w:after="40" w:line="312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0.</w:t>
            </w: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</w:tr>
      <w:tr w:rsidR="0073149C" w:rsidRPr="00D32D10" w14:paraId="4B10A893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bottom w:val="single" w:sz="4" w:space="0" w:color="auto"/>
              <w:right w:val="nil"/>
            </w:tcBorders>
          </w:tcPr>
          <w:p w14:paraId="0B25C7C0" w14:textId="77777777" w:rsidR="0073149C" w:rsidRPr="001E3220" w:rsidRDefault="0073149C" w:rsidP="001E3220">
            <w:pPr>
              <w:tabs>
                <w:tab w:val="left" w:pos="175"/>
              </w:tabs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3220">
              <w:rPr>
                <w:rFonts w:ascii="Arial" w:hAnsi="Arial" w:cs="Arial"/>
                <w:i w:val="0"/>
                <w:iCs w:val="0"/>
                <w:sz w:val="18"/>
                <w:szCs w:val="18"/>
                <w:lang w:val="en-US"/>
              </w:rPr>
              <w:tab/>
            </w:r>
            <w:r w:rsidRPr="001E3220">
              <w:rPr>
                <w:rFonts w:ascii="Arial" w:hAnsi="Arial" w:cs="Arial"/>
                <w:sz w:val="18"/>
                <w:szCs w:val="18"/>
                <w:lang w:val="en-US"/>
              </w:rPr>
              <w:t>Ferritin (ng/ml, median, range)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14:paraId="436CB850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195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3CE7AB4E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478</w:t>
            </w:r>
            <w:r w:rsidRPr="00D32D10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D32D10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615</w:t>
            </w:r>
            <w:r w:rsidRPr="00D32D1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1EA3ABCD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42</w:t>
            </w:r>
            <w:r>
              <w:rPr>
                <w:rFonts w:ascii="Arial" w:hAnsi="Arial" w:cs="Arial"/>
                <w:sz w:val="18"/>
                <w:szCs w:val="18"/>
              </w:rPr>
              <w:t>2.5</w:t>
            </w:r>
            <w:r w:rsidRPr="00D32D10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D32D10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615</w:t>
            </w:r>
            <w:r w:rsidRPr="00D32D1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66" w:type="dxa"/>
          </w:tcPr>
          <w:p w14:paraId="0802907F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683</w:t>
            </w:r>
            <w:r w:rsidRPr="00D32D10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3,692</w:t>
            </w:r>
            <w:r w:rsidRPr="00D32D1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92" w:type="dxa"/>
          </w:tcPr>
          <w:p w14:paraId="656E1461" w14:textId="77777777" w:rsidR="0073149C" w:rsidRPr="00D32D10" w:rsidRDefault="0073149C" w:rsidP="001E3220">
            <w:pPr>
              <w:spacing w:after="40" w:line="312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32D10">
              <w:rPr>
                <w:rFonts w:ascii="Arial" w:hAnsi="Arial" w:cs="Arial"/>
                <w:b/>
                <w:bCs/>
                <w:sz w:val="18"/>
                <w:szCs w:val="18"/>
              </w:rPr>
              <w:t>0.00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</w:tr>
      <w:tr w:rsidR="0073149C" w:rsidRPr="00D32D10" w14:paraId="3AADC564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6"/>
            <w:tcBorders>
              <w:top w:val="single" w:sz="4" w:space="0" w:color="auto"/>
              <w:right w:val="nil"/>
            </w:tcBorders>
          </w:tcPr>
          <w:p w14:paraId="591FF95A" w14:textId="77777777" w:rsidR="0073149C" w:rsidRPr="001E3220" w:rsidRDefault="0073149C" w:rsidP="001E3220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18"/>
                <w:szCs w:val="18"/>
                <w:lang w:val="en-US"/>
              </w:rPr>
            </w:pPr>
            <w:r w:rsidRPr="001E3220">
              <w:rPr>
                <w:rFonts w:ascii="Arial" w:eastAsia="Roboto" w:hAnsi="Arial" w:cs="Arial"/>
                <w:b/>
                <w:bCs/>
                <w:i w:val="0"/>
                <w:iCs w:val="0"/>
                <w:sz w:val="18"/>
                <w:szCs w:val="18"/>
                <w:lang w:val="en-US"/>
              </w:rPr>
              <w:t xml:space="preserve">Status at </w:t>
            </w:r>
            <w:r>
              <w:rPr>
                <w:rFonts w:ascii="Arial" w:eastAsia="Roboto" w:hAnsi="Arial" w:cs="Arial"/>
                <w:b/>
                <w:bCs/>
                <w:i w:val="0"/>
                <w:iCs w:val="0"/>
                <w:sz w:val="18"/>
                <w:szCs w:val="18"/>
                <w:lang w:val="en-US"/>
              </w:rPr>
              <w:t>lymphodepletion</w:t>
            </w:r>
          </w:p>
        </w:tc>
      </w:tr>
      <w:tr w:rsidR="0073149C" w:rsidRPr="00D32D10" w14:paraId="7D14635A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bottom w:val="single" w:sz="4" w:space="0" w:color="auto"/>
              <w:right w:val="nil"/>
            </w:tcBorders>
          </w:tcPr>
          <w:p w14:paraId="377A630C" w14:textId="77777777" w:rsidR="0073149C" w:rsidRPr="001E3220" w:rsidRDefault="0073149C" w:rsidP="001E3220">
            <w:pPr>
              <w:tabs>
                <w:tab w:val="left" w:pos="175"/>
              </w:tabs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3220">
              <w:rPr>
                <w:rFonts w:ascii="Arial" w:hAnsi="Arial" w:cs="Arial"/>
                <w:sz w:val="18"/>
                <w:szCs w:val="18"/>
                <w:lang w:val="en-US"/>
              </w:rPr>
              <w:tab/>
              <w:t xml:space="preserve">LDH </w:t>
            </w:r>
            <w:r w:rsidRPr="001E3220">
              <w:rPr>
                <w:rFonts w:ascii="Arial" w:hAnsi="Arial" w:cs="Arial"/>
                <w:sz w:val="18"/>
                <w:szCs w:val="18"/>
                <w:lang w:val="en-US"/>
              </w:rPr>
              <w:br/>
              <w:t>(U/l, median, range)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14:paraId="6D369567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D32D10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353</w:t>
            </w:r>
          </w:p>
        </w:tc>
        <w:tc>
          <w:tcPr>
            <w:tcW w:w="1860" w:type="dxa"/>
            <w:tcBorders>
              <w:bottom w:val="single" w:sz="4" w:space="0" w:color="auto"/>
              <w:right w:val="double" w:sz="4" w:space="0" w:color="auto"/>
            </w:tcBorders>
          </w:tcPr>
          <w:p w14:paraId="620E8CA6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74</w:t>
            </w:r>
            <w:r w:rsidRPr="00D32D10">
              <w:rPr>
                <w:rFonts w:ascii="Arial" w:hAnsi="Arial" w:cs="Arial"/>
                <w:sz w:val="18"/>
                <w:szCs w:val="18"/>
              </w:rPr>
              <w:t xml:space="preserve"> (10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D32D10">
              <w:rPr>
                <w:rFonts w:ascii="Arial" w:hAnsi="Arial" w:cs="Arial"/>
                <w:sz w:val="18"/>
                <w:szCs w:val="18"/>
              </w:rPr>
              <w:t>-3,</w:t>
            </w:r>
            <w:r>
              <w:rPr>
                <w:rFonts w:ascii="Arial" w:hAnsi="Arial" w:cs="Arial"/>
                <w:sz w:val="18"/>
                <w:szCs w:val="18"/>
              </w:rPr>
              <w:t>502</w:t>
            </w:r>
            <w:r w:rsidRPr="00D32D1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66" w:type="dxa"/>
            <w:tcBorders>
              <w:left w:val="double" w:sz="4" w:space="0" w:color="auto"/>
              <w:bottom w:val="single" w:sz="4" w:space="0" w:color="auto"/>
            </w:tcBorders>
          </w:tcPr>
          <w:p w14:paraId="63369C70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261</w:t>
            </w:r>
            <w:r w:rsidRPr="00D32D10">
              <w:rPr>
                <w:rFonts w:ascii="Arial" w:hAnsi="Arial" w:cs="Arial"/>
                <w:sz w:val="18"/>
                <w:szCs w:val="18"/>
              </w:rPr>
              <w:t xml:space="preserve"> (11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D32D10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502</w:t>
            </w:r>
            <w:r w:rsidRPr="00D32D1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14:paraId="411C5040" w14:textId="77777777" w:rsidR="0073149C" w:rsidRPr="00D32D10" w:rsidRDefault="0073149C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302</w:t>
            </w:r>
            <w:r w:rsidRPr="00D32D10">
              <w:rPr>
                <w:rFonts w:ascii="Arial" w:hAnsi="Arial" w:cs="Arial"/>
                <w:sz w:val="18"/>
                <w:szCs w:val="18"/>
              </w:rPr>
              <w:t xml:space="preserve"> (10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D32D10">
              <w:rPr>
                <w:rFonts w:ascii="Arial" w:hAnsi="Arial" w:cs="Arial"/>
                <w:sz w:val="18"/>
                <w:szCs w:val="18"/>
              </w:rPr>
              <w:t>-3,</w:t>
            </w:r>
            <w:r>
              <w:rPr>
                <w:rFonts w:ascii="Arial" w:hAnsi="Arial" w:cs="Arial"/>
                <w:sz w:val="18"/>
                <w:szCs w:val="18"/>
              </w:rPr>
              <w:t>243</w:t>
            </w:r>
            <w:r w:rsidRPr="00D32D1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63F7FBD" w14:textId="77777777" w:rsidR="0073149C" w:rsidRPr="001E3220" w:rsidRDefault="0073149C" w:rsidP="001E3220">
            <w:pPr>
              <w:spacing w:after="40" w:line="312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691E">
              <w:rPr>
                <w:rFonts w:ascii="Arial" w:hAnsi="Arial" w:cs="Arial"/>
                <w:b/>
                <w:bCs/>
                <w:sz w:val="18"/>
                <w:szCs w:val="18"/>
              </w:rPr>
              <w:t>0.0</w:t>
            </w:r>
            <w:r w:rsidRPr="001E3220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</w:tr>
    </w:tbl>
    <w:p w14:paraId="4C28D9F3" w14:textId="54C450BC" w:rsidR="0073149C" w:rsidRPr="0004087D" w:rsidRDefault="0073149C" w:rsidP="0073149C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SDC, </w:t>
      </w:r>
      <w:r w:rsidRPr="0004087D">
        <w:rPr>
          <w:rFonts w:ascii="Arial" w:hAnsi="Arial" w:cs="Arial"/>
          <w:b/>
          <w:bCs/>
          <w:color w:val="000000"/>
          <w:sz w:val="22"/>
          <w:szCs w:val="22"/>
        </w:rPr>
        <w:t xml:space="preserve">Table </w:t>
      </w:r>
      <w:r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Pr="0004087D">
        <w:rPr>
          <w:rFonts w:ascii="Arial" w:hAnsi="Arial" w:cs="Arial"/>
          <w:b/>
          <w:bCs/>
          <w:color w:val="000000"/>
          <w:sz w:val="22"/>
          <w:szCs w:val="22"/>
        </w:rPr>
        <w:t xml:space="preserve">: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Dynamic</w:t>
      </w: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p</w:t>
      </w: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>atients‘ characteristics</w:t>
      </w:r>
      <w:proofErr w:type="gramEnd"/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by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Region, additional timepoints</w:t>
      </w:r>
    </w:p>
    <w:p w14:paraId="123470E7" w14:textId="11015625" w:rsidR="0073149C" w:rsidRPr="00891875" w:rsidRDefault="0073149C" w:rsidP="0073149C">
      <w:pPr>
        <w:rPr>
          <w:rFonts w:ascii="Arial" w:hAnsi="Arial" w:cs="Arial"/>
          <w:b/>
          <w:bCs/>
          <w:sz w:val="22"/>
          <w:szCs w:val="22"/>
        </w:rPr>
      </w:pPr>
      <w:r w:rsidRPr="0004087D">
        <w:rPr>
          <w:rFonts w:ascii="Arial" w:hAnsi="Arial" w:cs="Arial"/>
          <w:color w:val="000000"/>
          <w:sz w:val="22"/>
          <w:szCs w:val="22"/>
        </w:rPr>
        <w:t>Statistical significance (p &lt; 0.05) between US and European patients was determined by Mann-Whitney test for continuous variables. The center-specific upper limit of normal for Lactate Dehydrogenase (LDH) was 214-378 U/l, for CRP was 0.5 mg/dl, and for Ferritin was 400 ng/ml.</w:t>
      </w:r>
    </w:p>
    <w:p w14:paraId="2B78CDCA" w14:textId="77777777" w:rsidR="0073149C" w:rsidRPr="00B20F85" w:rsidRDefault="0073149C" w:rsidP="00D0654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824FE1D" w14:textId="1CF408DC" w:rsidR="0073149C" w:rsidRDefault="0073149C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5904974B" w14:textId="77777777" w:rsidR="00832DFE" w:rsidRPr="00B20F85" w:rsidRDefault="00832DFE" w:rsidP="00D0654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F0C46C2" w14:textId="0BB4C1F4" w:rsidR="00EB1F3B" w:rsidRPr="006E3E89" w:rsidRDefault="00EB1F3B" w:rsidP="00EB1F3B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SDC, Table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3</w:t>
      </w: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–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Patient contribution from different treatment centers </w:t>
      </w:r>
    </w:p>
    <w:p w14:paraId="7503578A" w14:textId="77777777" w:rsidR="00EB1F3B" w:rsidRDefault="00EB1F3B" w:rsidP="00EB1F3B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Gitternetztabelle3"/>
        <w:tblW w:w="10065" w:type="dxa"/>
        <w:tblLook w:val="04A0" w:firstRow="1" w:lastRow="0" w:firstColumn="1" w:lastColumn="0" w:noHBand="0" w:noVBand="1"/>
      </w:tblPr>
      <w:tblGrid>
        <w:gridCol w:w="1517"/>
        <w:gridCol w:w="1421"/>
        <w:gridCol w:w="1468"/>
        <w:gridCol w:w="1468"/>
        <w:gridCol w:w="1468"/>
        <w:gridCol w:w="1455"/>
        <w:gridCol w:w="1268"/>
      </w:tblGrid>
      <w:tr w:rsidR="00EB1F3B" w14:paraId="1C7F00A0" w14:textId="77777777" w:rsidTr="001E3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8" w:type="dxa"/>
          </w:tcPr>
          <w:p w14:paraId="1C424BE3" w14:textId="77777777" w:rsidR="00EB1F3B" w:rsidRDefault="00EB1F3B" w:rsidP="001E3220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Center</w:t>
            </w:r>
          </w:p>
        </w:tc>
        <w:tc>
          <w:tcPr>
            <w:tcW w:w="1548" w:type="dxa"/>
          </w:tcPr>
          <w:p w14:paraId="3665F598" w14:textId="77777777" w:rsidR="00EB1F3B" w:rsidRPr="00D306B6" w:rsidRDefault="00EB1F3B" w:rsidP="001E32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</w:pPr>
            <w:r w:rsidRPr="00D306B6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>Moffitt Cancer Center, Tampa, FL</w:t>
            </w:r>
          </w:p>
        </w:tc>
        <w:tc>
          <w:tcPr>
            <w:tcW w:w="1548" w:type="dxa"/>
          </w:tcPr>
          <w:p w14:paraId="008B8F8E" w14:textId="77777777" w:rsidR="00EB1F3B" w:rsidRPr="00D306B6" w:rsidRDefault="00EB1F3B" w:rsidP="001E32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</w:pPr>
            <w:r w:rsidRPr="00D306B6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>University Hospital, LMU Munich, Germany</w:t>
            </w:r>
          </w:p>
        </w:tc>
        <w:tc>
          <w:tcPr>
            <w:tcW w:w="1548" w:type="dxa"/>
          </w:tcPr>
          <w:p w14:paraId="050EEB12" w14:textId="77777777" w:rsidR="00EB1F3B" w:rsidRDefault="00EB1F3B" w:rsidP="001E32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University Hospital Erlangen, Germany</w:t>
            </w:r>
          </w:p>
        </w:tc>
        <w:tc>
          <w:tcPr>
            <w:tcW w:w="1548" w:type="dxa"/>
          </w:tcPr>
          <w:p w14:paraId="285CB2A9" w14:textId="77777777" w:rsidR="00EB1F3B" w:rsidRDefault="00EB1F3B" w:rsidP="001E32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University Hospital Cologne, Germany</w:t>
            </w:r>
          </w:p>
        </w:tc>
        <w:tc>
          <w:tcPr>
            <w:tcW w:w="1548" w:type="dxa"/>
          </w:tcPr>
          <w:p w14:paraId="073EC74F" w14:textId="77777777" w:rsidR="00EB1F3B" w:rsidRDefault="00EB1F3B" w:rsidP="001E32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Charité Berlin, Germany</w:t>
            </w:r>
          </w:p>
        </w:tc>
        <w:tc>
          <w:tcPr>
            <w:tcW w:w="767" w:type="dxa"/>
          </w:tcPr>
          <w:p w14:paraId="0E70E7F3" w14:textId="77777777" w:rsidR="00EB1F3B" w:rsidRPr="001E3220" w:rsidRDefault="00EB1F3B" w:rsidP="001E32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</w:pPr>
            <w:r w:rsidRPr="001E3220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>Vall d’Hebron University Hospital, Barcelona, Spain</w:t>
            </w:r>
          </w:p>
        </w:tc>
      </w:tr>
      <w:tr w:rsidR="00EB1F3B" w14:paraId="6DEAA264" w14:textId="77777777" w:rsidTr="001E3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shd w:val="clear" w:color="auto" w:fill="auto"/>
          </w:tcPr>
          <w:p w14:paraId="4F47C3D1" w14:textId="77777777" w:rsidR="00EB1F3B" w:rsidRPr="001E3220" w:rsidRDefault="00EB1F3B" w:rsidP="001E3220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548" w:type="dxa"/>
            <w:shd w:val="clear" w:color="auto" w:fill="auto"/>
          </w:tcPr>
          <w:p w14:paraId="0F300846" w14:textId="77777777" w:rsidR="00EB1F3B" w:rsidRDefault="00EB1F3B" w:rsidP="001E3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USA</w:t>
            </w:r>
          </w:p>
        </w:tc>
        <w:tc>
          <w:tcPr>
            <w:tcW w:w="6959" w:type="dxa"/>
            <w:gridSpan w:val="5"/>
            <w:shd w:val="clear" w:color="auto" w:fill="auto"/>
          </w:tcPr>
          <w:p w14:paraId="40BA3168" w14:textId="77777777" w:rsidR="00EB1F3B" w:rsidRDefault="00EB1F3B" w:rsidP="001E3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Europe</w:t>
            </w:r>
          </w:p>
        </w:tc>
      </w:tr>
      <w:tr w:rsidR="00EB1F3B" w:rsidRPr="00253BCF" w14:paraId="7D806D6A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shd w:val="clear" w:color="auto" w:fill="auto"/>
          </w:tcPr>
          <w:p w14:paraId="055EA548" w14:textId="77777777" w:rsidR="00EB1F3B" w:rsidRPr="00253BCF" w:rsidRDefault="00EB1F3B" w:rsidP="001E3220">
            <w:pPr>
              <w:rPr>
                <w:rFonts w:ascii="Arial" w:hAnsi="Arial" w:cs="Arial"/>
                <w:sz w:val="22"/>
                <w:szCs w:val="22"/>
              </w:rPr>
            </w:pPr>
            <w:r w:rsidRPr="00253BCF">
              <w:rPr>
                <w:rFonts w:ascii="Arial" w:hAnsi="Arial" w:cs="Arial"/>
                <w:sz w:val="22"/>
                <w:szCs w:val="22"/>
              </w:rPr>
              <w:t>No. of patients</w:t>
            </w:r>
          </w:p>
        </w:tc>
        <w:tc>
          <w:tcPr>
            <w:tcW w:w="1548" w:type="dxa"/>
            <w:shd w:val="clear" w:color="auto" w:fill="auto"/>
          </w:tcPr>
          <w:p w14:paraId="1AF76A70" w14:textId="77777777" w:rsidR="00EB1F3B" w:rsidRPr="00253BCF" w:rsidRDefault="00EB1F3B" w:rsidP="001E3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199</w:t>
            </w:r>
          </w:p>
        </w:tc>
        <w:tc>
          <w:tcPr>
            <w:tcW w:w="1548" w:type="dxa"/>
            <w:shd w:val="clear" w:color="auto" w:fill="auto"/>
          </w:tcPr>
          <w:p w14:paraId="20BB15C5" w14:textId="77777777" w:rsidR="00EB1F3B" w:rsidRPr="00253BCF" w:rsidRDefault="00EB1F3B" w:rsidP="001E3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53BCF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548" w:type="dxa"/>
            <w:shd w:val="clear" w:color="auto" w:fill="auto"/>
          </w:tcPr>
          <w:p w14:paraId="443EDA31" w14:textId="77777777" w:rsidR="00EB1F3B" w:rsidRPr="00253BCF" w:rsidRDefault="00EB1F3B" w:rsidP="001E3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53BCF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548" w:type="dxa"/>
            <w:shd w:val="clear" w:color="auto" w:fill="auto"/>
          </w:tcPr>
          <w:p w14:paraId="3A456969" w14:textId="77777777" w:rsidR="00EB1F3B" w:rsidRPr="00253BCF" w:rsidRDefault="00EB1F3B" w:rsidP="001E3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53BCF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1548" w:type="dxa"/>
            <w:shd w:val="clear" w:color="auto" w:fill="auto"/>
          </w:tcPr>
          <w:p w14:paraId="13E9B24B" w14:textId="77777777" w:rsidR="00EB1F3B" w:rsidRPr="00253BCF" w:rsidRDefault="00EB1F3B" w:rsidP="001E3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53BCF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767" w:type="dxa"/>
            <w:shd w:val="clear" w:color="auto" w:fill="auto"/>
          </w:tcPr>
          <w:p w14:paraId="0769B639" w14:textId="77777777" w:rsidR="00EB1F3B" w:rsidRPr="00253BCF" w:rsidRDefault="00EB1F3B" w:rsidP="001E3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53BCF"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EB1F3B" w:rsidRPr="00253BCF" w14:paraId="4A5CBB5B" w14:textId="77777777" w:rsidTr="001E3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shd w:val="clear" w:color="auto" w:fill="auto"/>
          </w:tcPr>
          <w:p w14:paraId="42F26B00" w14:textId="77777777" w:rsidR="00EB1F3B" w:rsidRPr="00D306B6" w:rsidRDefault="00EB1F3B" w:rsidP="001E322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306B6">
              <w:rPr>
                <w:rFonts w:ascii="Arial" w:hAnsi="Arial" w:cs="Arial"/>
                <w:sz w:val="22"/>
                <w:szCs w:val="22"/>
                <w:lang w:val="en-US"/>
              </w:rPr>
              <w:t>% of patients treated with axi-cel</w:t>
            </w:r>
          </w:p>
        </w:tc>
        <w:tc>
          <w:tcPr>
            <w:tcW w:w="1548" w:type="dxa"/>
            <w:shd w:val="clear" w:color="auto" w:fill="auto"/>
          </w:tcPr>
          <w:p w14:paraId="68FFC3A0" w14:textId="77777777" w:rsidR="00EB1F3B" w:rsidRPr="00D306B6" w:rsidRDefault="00EB1F3B" w:rsidP="001E3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85%</w:t>
            </w:r>
          </w:p>
        </w:tc>
        <w:tc>
          <w:tcPr>
            <w:tcW w:w="1548" w:type="dxa"/>
            <w:shd w:val="clear" w:color="auto" w:fill="auto"/>
          </w:tcPr>
          <w:p w14:paraId="3700CF28" w14:textId="77777777" w:rsidR="00EB1F3B" w:rsidRPr="00D306B6" w:rsidRDefault="00EB1F3B" w:rsidP="001E3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44%</w:t>
            </w:r>
          </w:p>
        </w:tc>
        <w:tc>
          <w:tcPr>
            <w:tcW w:w="1548" w:type="dxa"/>
            <w:shd w:val="clear" w:color="auto" w:fill="auto"/>
          </w:tcPr>
          <w:p w14:paraId="3517F8F0" w14:textId="77777777" w:rsidR="00EB1F3B" w:rsidRPr="00D306B6" w:rsidRDefault="00EB1F3B" w:rsidP="001E3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12%</w:t>
            </w:r>
          </w:p>
        </w:tc>
        <w:tc>
          <w:tcPr>
            <w:tcW w:w="1548" w:type="dxa"/>
            <w:shd w:val="clear" w:color="auto" w:fill="auto"/>
          </w:tcPr>
          <w:p w14:paraId="73B5ECFF" w14:textId="77777777" w:rsidR="00EB1F3B" w:rsidRPr="00D306B6" w:rsidRDefault="00EB1F3B" w:rsidP="001E3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0%</w:t>
            </w:r>
          </w:p>
        </w:tc>
        <w:tc>
          <w:tcPr>
            <w:tcW w:w="1548" w:type="dxa"/>
            <w:shd w:val="clear" w:color="auto" w:fill="auto"/>
          </w:tcPr>
          <w:p w14:paraId="2551DC5D" w14:textId="77777777" w:rsidR="00EB1F3B" w:rsidRPr="00D306B6" w:rsidRDefault="00EB1F3B" w:rsidP="001E3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0%</w:t>
            </w:r>
          </w:p>
        </w:tc>
        <w:tc>
          <w:tcPr>
            <w:tcW w:w="767" w:type="dxa"/>
            <w:shd w:val="clear" w:color="auto" w:fill="auto"/>
          </w:tcPr>
          <w:p w14:paraId="507F9AA6" w14:textId="77777777" w:rsidR="00EB1F3B" w:rsidRPr="00D306B6" w:rsidRDefault="00EB1F3B" w:rsidP="001E3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42%</w:t>
            </w:r>
          </w:p>
        </w:tc>
      </w:tr>
      <w:tr w:rsidR="0055047B" w:rsidRPr="00253BCF" w14:paraId="55529F05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shd w:val="clear" w:color="auto" w:fill="auto"/>
          </w:tcPr>
          <w:p w14:paraId="163E7CF0" w14:textId="631E6B1D" w:rsidR="0055047B" w:rsidRPr="001B0C6A" w:rsidRDefault="008D550E" w:rsidP="001E322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B0C6A">
              <w:rPr>
                <w:rFonts w:ascii="Arial" w:hAnsi="Arial" w:cs="Arial"/>
                <w:sz w:val="22"/>
                <w:szCs w:val="22"/>
                <w:lang w:val="en-US"/>
              </w:rPr>
              <w:t>Interval Indication - Transfusion (d, median, range)</w:t>
            </w:r>
          </w:p>
        </w:tc>
        <w:tc>
          <w:tcPr>
            <w:tcW w:w="1548" w:type="dxa"/>
            <w:shd w:val="clear" w:color="auto" w:fill="auto"/>
          </w:tcPr>
          <w:p w14:paraId="764BC50C" w14:textId="7A171629" w:rsidR="0055047B" w:rsidRDefault="008D550E" w:rsidP="008D5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D550E">
              <w:rPr>
                <w:rFonts w:ascii="Arial" w:hAnsi="Arial" w:cs="Arial"/>
                <w:sz w:val="22"/>
                <w:szCs w:val="22"/>
              </w:rPr>
              <w:t xml:space="preserve">48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8D550E">
              <w:rPr>
                <w:rFonts w:ascii="Arial" w:hAnsi="Arial" w:cs="Arial"/>
                <w:sz w:val="22"/>
                <w:szCs w:val="22"/>
              </w:rPr>
              <w:t>(28-201)</w:t>
            </w:r>
          </w:p>
        </w:tc>
        <w:tc>
          <w:tcPr>
            <w:tcW w:w="1548" w:type="dxa"/>
            <w:shd w:val="clear" w:color="auto" w:fill="auto"/>
          </w:tcPr>
          <w:p w14:paraId="78EF80FD" w14:textId="3938F3B2" w:rsidR="008D550E" w:rsidRPr="008D550E" w:rsidRDefault="008D550E" w:rsidP="008D5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D550E">
              <w:rPr>
                <w:rFonts w:ascii="Arial" w:hAnsi="Arial" w:cs="Arial"/>
                <w:sz w:val="22"/>
                <w:szCs w:val="22"/>
              </w:rPr>
              <w:t xml:space="preserve">72.5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8D550E">
              <w:rPr>
                <w:rFonts w:ascii="Arial" w:hAnsi="Arial" w:cs="Arial"/>
                <w:sz w:val="22"/>
                <w:szCs w:val="22"/>
              </w:rPr>
              <w:t>(40-174)</w:t>
            </w:r>
          </w:p>
          <w:p w14:paraId="53D35099" w14:textId="77777777" w:rsidR="0055047B" w:rsidRDefault="0055047B" w:rsidP="001E3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8" w:type="dxa"/>
            <w:shd w:val="clear" w:color="auto" w:fill="auto"/>
          </w:tcPr>
          <w:p w14:paraId="6CC7E581" w14:textId="7D1001A5" w:rsidR="0055047B" w:rsidRDefault="008D550E" w:rsidP="008D5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D550E">
              <w:rPr>
                <w:rFonts w:ascii="Arial" w:hAnsi="Arial" w:cs="Arial"/>
                <w:sz w:val="22"/>
                <w:szCs w:val="22"/>
              </w:rPr>
              <w:t xml:space="preserve">55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8D550E">
              <w:rPr>
                <w:rFonts w:ascii="Arial" w:hAnsi="Arial" w:cs="Arial"/>
                <w:sz w:val="22"/>
                <w:szCs w:val="22"/>
              </w:rPr>
              <w:t>(37-86)</w:t>
            </w:r>
          </w:p>
        </w:tc>
        <w:tc>
          <w:tcPr>
            <w:tcW w:w="1548" w:type="dxa"/>
            <w:shd w:val="clear" w:color="auto" w:fill="auto"/>
          </w:tcPr>
          <w:p w14:paraId="4BBC8398" w14:textId="071383A9" w:rsidR="0055047B" w:rsidRDefault="008D550E" w:rsidP="001E3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D550E">
              <w:rPr>
                <w:rFonts w:ascii="Arial" w:hAnsi="Arial" w:cs="Arial"/>
                <w:sz w:val="22"/>
                <w:szCs w:val="22"/>
              </w:rPr>
              <w:t xml:space="preserve">64.5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8D550E">
              <w:rPr>
                <w:rFonts w:ascii="Arial" w:hAnsi="Arial" w:cs="Arial"/>
                <w:sz w:val="22"/>
                <w:szCs w:val="22"/>
              </w:rPr>
              <w:t>(35-180)</w:t>
            </w:r>
          </w:p>
        </w:tc>
        <w:tc>
          <w:tcPr>
            <w:tcW w:w="1548" w:type="dxa"/>
            <w:shd w:val="clear" w:color="auto" w:fill="auto"/>
          </w:tcPr>
          <w:p w14:paraId="1A113045" w14:textId="6A795F15" w:rsidR="0055047B" w:rsidRDefault="008D550E" w:rsidP="001E3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D550E">
              <w:rPr>
                <w:rFonts w:ascii="Arial" w:hAnsi="Arial" w:cs="Arial"/>
                <w:sz w:val="22"/>
                <w:szCs w:val="22"/>
              </w:rPr>
              <w:t xml:space="preserve">54.5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8D550E">
              <w:rPr>
                <w:rFonts w:ascii="Arial" w:hAnsi="Arial" w:cs="Arial"/>
                <w:sz w:val="22"/>
                <w:szCs w:val="22"/>
              </w:rPr>
              <w:t>(39-102)</w:t>
            </w:r>
          </w:p>
        </w:tc>
        <w:tc>
          <w:tcPr>
            <w:tcW w:w="767" w:type="dxa"/>
            <w:shd w:val="clear" w:color="auto" w:fill="auto"/>
          </w:tcPr>
          <w:p w14:paraId="20757693" w14:textId="55858374" w:rsidR="0055047B" w:rsidRDefault="008D550E" w:rsidP="001E3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D550E">
              <w:rPr>
                <w:rFonts w:ascii="Arial" w:hAnsi="Arial" w:cs="Arial"/>
                <w:sz w:val="22"/>
                <w:szCs w:val="22"/>
              </w:rPr>
              <w:t xml:space="preserve">48.5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8D550E">
              <w:rPr>
                <w:rFonts w:ascii="Arial" w:hAnsi="Arial" w:cs="Arial"/>
                <w:sz w:val="22"/>
                <w:szCs w:val="22"/>
              </w:rPr>
              <w:t>(33-229)</w:t>
            </w:r>
          </w:p>
        </w:tc>
      </w:tr>
    </w:tbl>
    <w:p w14:paraId="628C5EDC" w14:textId="77777777" w:rsidR="00EB1F3B" w:rsidRDefault="00EB1F3B" w:rsidP="00EB1F3B">
      <w:pPr>
        <w:rPr>
          <w:rFonts w:ascii="Arial" w:hAnsi="Arial" w:cs="Arial"/>
          <w:b/>
          <w:bCs/>
          <w:sz w:val="22"/>
          <w:szCs w:val="22"/>
        </w:rPr>
      </w:pPr>
    </w:p>
    <w:p w14:paraId="7F0C34FF" w14:textId="4BF8BCE7" w:rsidR="00B20F85" w:rsidRDefault="00EB1F3B">
      <w:pPr>
        <w:rPr>
          <w:rFonts w:cstheme="minorHAnsi"/>
          <w:i/>
          <w:iCs/>
          <w:sz w:val="21"/>
          <w:szCs w:val="21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125A29E7" w14:textId="2073D884" w:rsidR="00B20F85" w:rsidRPr="006E3E89" w:rsidRDefault="006E3E89" w:rsidP="00B20F85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lastRenderedPageBreak/>
        <w:t xml:space="preserve">SDC, </w:t>
      </w:r>
      <w:r w:rsidR="00B20F85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Table </w:t>
      </w:r>
      <w:r w:rsidR="0073149C">
        <w:rPr>
          <w:rFonts w:ascii="Arial" w:eastAsia="Times New Roman" w:hAnsi="Arial" w:cs="Arial"/>
          <w:b/>
          <w:bCs/>
          <w:color w:val="000000"/>
          <w:sz w:val="22"/>
          <w:szCs w:val="22"/>
        </w:rPr>
        <w:t>4</w:t>
      </w:r>
      <w:r w:rsidR="00B20F85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– Treatment intervals per product</w:t>
      </w:r>
    </w:p>
    <w:p w14:paraId="280641C9" w14:textId="77777777" w:rsidR="00B20F85" w:rsidRDefault="00B20F85" w:rsidP="00B20F85">
      <w:pPr>
        <w:rPr>
          <w:rFonts w:cstheme="minorHAnsi"/>
          <w:b/>
          <w:bCs/>
        </w:rPr>
      </w:pPr>
    </w:p>
    <w:tbl>
      <w:tblPr>
        <w:tblStyle w:val="Gitternetztabelle3"/>
        <w:tblW w:w="9072" w:type="dxa"/>
        <w:tblInd w:w="5" w:type="dxa"/>
        <w:tblLook w:val="06A0" w:firstRow="1" w:lastRow="0" w:firstColumn="1" w:lastColumn="0" w:noHBand="1" w:noVBand="1"/>
      </w:tblPr>
      <w:tblGrid>
        <w:gridCol w:w="2688"/>
        <w:gridCol w:w="1606"/>
        <w:gridCol w:w="1607"/>
        <w:gridCol w:w="1607"/>
        <w:gridCol w:w="1564"/>
      </w:tblGrid>
      <w:tr w:rsidR="00B20F85" w:rsidRPr="006E3E89" w14:paraId="59AEFB91" w14:textId="77777777" w:rsidTr="00E83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88" w:type="dxa"/>
            <w:vAlign w:val="bottom"/>
          </w:tcPr>
          <w:p w14:paraId="13167EB5" w14:textId="77777777" w:rsidR="00B20F85" w:rsidRPr="006E3E89" w:rsidRDefault="00B20F85" w:rsidP="006E3E89">
            <w:pPr>
              <w:spacing w:after="40" w:line="312" w:lineRule="auto"/>
              <w:rPr>
                <w:rFonts w:ascii="Arial" w:hAnsi="Arial" w:cs="Arial"/>
                <w:color w:val="BFBFBF" w:themeColor="background1" w:themeShade="BF"/>
                <w:sz w:val="21"/>
                <w:szCs w:val="21"/>
                <w:lang w:val="en-US"/>
              </w:rPr>
            </w:pPr>
          </w:p>
        </w:tc>
        <w:tc>
          <w:tcPr>
            <w:tcW w:w="1606" w:type="dxa"/>
            <w:tcBorders>
              <w:right w:val="double" w:sz="4" w:space="0" w:color="auto"/>
            </w:tcBorders>
            <w:vAlign w:val="bottom"/>
          </w:tcPr>
          <w:p w14:paraId="6107B28E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eastAsia="Roboto" w:hAnsi="Arial" w:cs="Arial"/>
                <w:sz w:val="21"/>
                <w:szCs w:val="21"/>
              </w:rPr>
              <w:t xml:space="preserve">All patients </w:t>
            </w:r>
          </w:p>
          <w:p w14:paraId="7F59D264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6E3E89">
              <w:rPr>
                <w:rFonts w:ascii="Arial" w:eastAsia="Roboto" w:hAnsi="Arial" w:cs="Arial"/>
                <w:b w:val="0"/>
                <w:bCs w:val="0"/>
                <w:sz w:val="21"/>
                <w:szCs w:val="21"/>
              </w:rPr>
              <w:t>(n=3</w:t>
            </w: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74</w:t>
            </w:r>
            <w:r w:rsidRPr="006E3E89">
              <w:rPr>
                <w:rFonts w:ascii="Arial" w:eastAsia="Roboto" w:hAnsi="Arial" w:cs="Arial"/>
                <w:b w:val="0"/>
                <w:bCs w:val="0"/>
                <w:sz w:val="21"/>
                <w:szCs w:val="21"/>
              </w:rPr>
              <w:t>)</w:t>
            </w:r>
          </w:p>
        </w:tc>
        <w:tc>
          <w:tcPr>
            <w:tcW w:w="1607" w:type="dxa"/>
            <w:tcBorders>
              <w:left w:val="double" w:sz="4" w:space="0" w:color="auto"/>
            </w:tcBorders>
            <w:vAlign w:val="bottom"/>
          </w:tcPr>
          <w:p w14:paraId="33E93A3E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Axi-cel</w:t>
            </w:r>
          </w:p>
          <w:p w14:paraId="156C365E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(n=214)</w:t>
            </w:r>
          </w:p>
        </w:tc>
        <w:tc>
          <w:tcPr>
            <w:tcW w:w="1607" w:type="dxa"/>
            <w:vAlign w:val="bottom"/>
          </w:tcPr>
          <w:p w14:paraId="736E5F74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Tisa-cel</w:t>
            </w:r>
          </w:p>
          <w:p w14:paraId="6C50E4E4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(n=160)</w:t>
            </w:r>
          </w:p>
        </w:tc>
        <w:tc>
          <w:tcPr>
            <w:tcW w:w="1564" w:type="dxa"/>
            <w:vAlign w:val="bottom"/>
          </w:tcPr>
          <w:p w14:paraId="7669F37D" w14:textId="77777777" w:rsidR="00B20F85" w:rsidRPr="006E3E89" w:rsidRDefault="00B20F85" w:rsidP="006E3E89">
            <w:pPr>
              <w:tabs>
                <w:tab w:val="right" w:pos="1305"/>
              </w:tabs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ab/>
              <w:t>p (Axi vs. Tisa)</w:t>
            </w:r>
          </w:p>
        </w:tc>
      </w:tr>
      <w:tr w:rsidR="00B20F85" w:rsidRPr="006E3E89" w14:paraId="7B76814A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5"/>
          </w:tcPr>
          <w:p w14:paraId="28F5DEF1" w14:textId="77777777" w:rsidR="00B20F85" w:rsidRPr="006E3E89" w:rsidRDefault="00B20F85" w:rsidP="006E3E89">
            <w:pPr>
              <w:tabs>
                <w:tab w:val="right" w:pos="8816"/>
              </w:tabs>
              <w:spacing w:after="40" w:line="312" w:lineRule="auto"/>
              <w:jc w:val="lef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</w:rPr>
              <w:t xml:space="preserve">Indication to transfusion (days) </w:t>
            </w: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</w:rPr>
              <w:tab/>
              <w:t>&lt;0.0001</w:t>
            </w:r>
          </w:p>
        </w:tc>
      </w:tr>
      <w:tr w:rsidR="00B20F85" w:rsidRPr="006E3E89" w14:paraId="4A7BE454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0C4AE780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color w:val="BFBFBF" w:themeColor="background1" w:themeShade="BF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Mean (SEM)</w:t>
            </w:r>
            <w:r w:rsidRPr="006E3E89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1606" w:type="dxa"/>
            <w:tcBorders>
              <w:right w:val="double" w:sz="4" w:space="0" w:color="auto"/>
            </w:tcBorders>
          </w:tcPr>
          <w:p w14:paraId="309FD77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57.7 (1.3)</w:t>
            </w:r>
          </w:p>
        </w:tc>
        <w:tc>
          <w:tcPr>
            <w:tcW w:w="1607" w:type="dxa"/>
            <w:tcBorders>
              <w:left w:val="double" w:sz="4" w:space="0" w:color="auto"/>
            </w:tcBorders>
          </w:tcPr>
          <w:p w14:paraId="7F19D262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50.1 (1.3)</w:t>
            </w:r>
          </w:p>
        </w:tc>
        <w:tc>
          <w:tcPr>
            <w:tcW w:w="1607" w:type="dxa"/>
          </w:tcPr>
          <w:p w14:paraId="1CA8F7D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67.7 (2.3)</w:t>
            </w:r>
          </w:p>
        </w:tc>
        <w:tc>
          <w:tcPr>
            <w:tcW w:w="1564" w:type="dxa"/>
            <w:tcBorders>
              <w:bottom w:val="nil"/>
            </w:tcBorders>
          </w:tcPr>
          <w:p w14:paraId="193968F3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B20F85" w:rsidRPr="006E3E89" w14:paraId="2354053C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0DF3513F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color w:val="BFBFBF" w:themeColor="background1" w:themeShade="BF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Median</w:t>
            </w:r>
          </w:p>
        </w:tc>
        <w:tc>
          <w:tcPr>
            <w:tcW w:w="1606" w:type="dxa"/>
            <w:tcBorders>
              <w:right w:val="double" w:sz="4" w:space="0" w:color="auto"/>
            </w:tcBorders>
          </w:tcPr>
          <w:p w14:paraId="4A80927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51</w:t>
            </w:r>
          </w:p>
        </w:tc>
        <w:tc>
          <w:tcPr>
            <w:tcW w:w="1607" w:type="dxa"/>
            <w:tcBorders>
              <w:left w:val="double" w:sz="4" w:space="0" w:color="auto"/>
            </w:tcBorders>
          </w:tcPr>
          <w:p w14:paraId="41808C84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48</w:t>
            </w:r>
          </w:p>
        </w:tc>
        <w:tc>
          <w:tcPr>
            <w:tcW w:w="1607" w:type="dxa"/>
          </w:tcPr>
          <w:p w14:paraId="7B9B8C4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61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14:paraId="19606D7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B20F85" w:rsidRPr="006E3E89" w14:paraId="06A9283B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69599F91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IQR</w:t>
            </w:r>
          </w:p>
        </w:tc>
        <w:tc>
          <w:tcPr>
            <w:tcW w:w="1606" w:type="dxa"/>
            <w:tcBorders>
              <w:right w:val="double" w:sz="4" w:space="0" w:color="auto"/>
            </w:tcBorders>
          </w:tcPr>
          <w:p w14:paraId="2E4B7689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42 - 64</w:t>
            </w:r>
          </w:p>
        </w:tc>
        <w:tc>
          <w:tcPr>
            <w:tcW w:w="1607" w:type="dxa"/>
            <w:tcBorders>
              <w:left w:val="double" w:sz="4" w:space="0" w:color="auto"/>
            </w:tcBorders>
          </w:tcPr>
          <w:p w14:paraId="200F3F1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40 - 55</w:t>
            </w:r>
          </w:p>
        </w:tc>
        <w:tc>
          <w:tcPr>
            <w:tcW w:w="1607" w:type="dxa"/>
          </w:tcPr>
          <w:p w14:paraId="03F3F64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50 - 75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14:paraId="413AC52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B20F85" w:rsidRPr="006E3E89" w14:paraId="15066C86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tcBorders>
              <w:bottom w:val="single" w:sz="4" w:space="0" w:color="auto"/>
            </w:tcBorders>
          </w:tcPr>
          <w:p w14:paraId="22791D7A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Min - Max</w:t>
            </w:r>
          </w:p>
        </w:tc>
        <w:tc>
          <w:tcPr>
            <w:tcW w:w="1606" w:type="dxa"/>
            <w:tcBorders>
              <w:bottom w:val="single" w:sz="4" w:space="0" w:color="auto"/>
              <w:right w:val="double" w:sz="4" w:space="0" w:color="auto"/>
            </w:tcBorders>
          </w:tcPr>
          <w:p w14:paraId="1B6C941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28 - 229</w:t>
            </w:r>
          </w:p>
        </w:tc>
        <w:tc>
          <w:tcPr>
            <w:tcW w:w="1607" w:type="dxa"/>
            <w:tcBorders>
              <w:left w:val="double" w:sz="4" w:space="0" w:color="auto"/>
              <w:bottom w:val="single" w:sz="4" w:space="0" w:color="auto"/>
            </w:tcBorders>
          </w:tcPr>
          <w:p w14:paraId="2F79BD6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28 - 201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14:paraId="6C63CEB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35 - 229</w:t>
            </w:r>
          </w:p>
        </w:tc>
        <w:tc>
          <w:tcPr>
            <w:tcW w:w="1564" w:type="dxa"/>
            <w:tcBorders>
              <w:top w:val="nil"/>
              <w:bottom w:val="single" w:sz="4" w:space="0" w:color="auto"/>
            </w:tcBorders>
          </w:tcPr>
          <w:p w14:paraId="4BFF1CF3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B20F85" w:rsidRPr="006E3E89" w14:paraId="27D6DFAE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5"/>
            <w:tcBorders>
              <w:top w:val="single" w:sz="4" w:space="0" w:color="auto"/>
            </w:tcBorders>
          </w:tcPr>
          <w:p w14:paraId="327E06C7" w14:textId="77777777" w:rsidR="00B20F85" w:rsidRPr="006E3E89" w:rsidRDefault="00B20F85" w:rsidP="006E3E89">
            <w:pPr>
              <w:tabs>
                <w:tab w:val="right" w:pos="8825"/>
              </w:tabs>
              <w:spacing w:after="40" w:line="312" w:lineRule="auto"/>
              <w:jc w:val="lef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</w:rPr>
              <w:t>Indication to apheresis (days)</w:t>
            </w: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</w:rPr>
              <w:tab/>
              <w:t>&lt; 0.0001</w:t>
            </w:r>
          </w:p>
        </w:tc>
      </w:tr>
      <w:tr w:rsidR="00B20F85" w:rsidRPr="006E3E89" w14:paraId="23FFD133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794FD273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Mean (SEM)</w:t>
            </w:r>
            <w:r w:rsidRPr="006E3E89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1606" w:type="dxa"/>
            <w:tcBorders>
              <w:right w:val="double" w:sz="4" w:space="0" w:color="auto"/>
            </w:tcBorders>
          </w:tcPr>
          <w:p w14:paraId="0649877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18.6 (1.0)</w:t>
            </w:r>
          </w:p>
        </w:tc>
        <w:tc>
          <w:tcPr>
            <w:tcW w:w="1607" w:type="dxa"/>
            <w:tcBorders>
              <w:left w:val="double" w:sz="4" w:space="0" w:color="auto"/>
            </w:tcBorders>
          </w:tcPr>
          <w:p w14:paraId="4DDF3D5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20.0 (1.2)</w:t>
            </w:r>
          </w:p>
        </w:tc>
        <w:tc>
          <w:tcPr>
            <w:tcW w:w="1607" w:type="dxa"/>
          </w:tcPr>
          <w:p w14:paraId="084133A3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16.6 (1.7)</w:t>
            </w:r>
          </w:p>
        </w:tc>
        <w:tc>
          <w:tcPr>
            <w:tcW w:w="1564" w:type="dxa"/>
            <w:tcBorders>
              <w:bottom w:val="nil"/>
            </w:tcBorders>
          </w:tcPr>
          <w:p w14:paraId="48669F73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B20F85" w:rsidRPr="006E3E89" w14:paraId="68DF4062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280963E0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Median</w:t>
            </w:r>
          </w:p>
        </w:tc>
        <w:tc>
          <w:tcPr>
            <w:tcW w:w="1606" w:type="dxa"/>
            <w:tcBorders>
              <w:right w:val="double" w:sz="4" w:space="0" w:color="auto"/>
            </w:tcBorders>
          </w:tcPr>
          <w:p w14:paraId="0B4953C2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15</w:t>
            </w:r>
          </w:p>
        </w:tc>
        <w:tc>
          <w:tcPr>
            <w:tcW w:w="1607" w:type="dxa"/>
            <w:tcBorders>
              <w:left w:val="double" w:sz="4" w:space="0" w:color="auto"/>
            </w:tcBorders>
          </w:tcPr>
          <w:p w14:paraId="171EE29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16</w:t>
            </w:r>
          </w:p>
        </w:tc>
        <w:tc>
          <w:tcPr>
            <w:tcW w:w="1607" w:type="dxa"/>
          </w:tcPr>
          <w:p w14:paraId="16E8702A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14:paraId="6E23A78A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B20F85" w:rsidRPr="006E3E89" w14:paraId="38FB9DEA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57B5D521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IQR</w:t>
            </w:r>
          </w:p>
        </w:tc>
        <w:tc>
          <w:tcPr>
            <w:tcW w:w="1606" w:type="dxa"/>
            <w:tcBorders>
              <w:right w:val="double" w:sz="4" w:space="0" w:color="auto"/>
            </w:tcBorders>
          </w:tcPr>
          <w:p w14:paraId="75BE318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6 - 23.3</w:t>
            </w:r>
          </w:p>
        </w:tc>
        <w:tc>
          <w:tcPr>
            <w:tcW w:w="1607" w:type="dxa"/>
            <w:tcBorders>
              <w:left w:val="double" w:sz="4" w:space="0" w:color="auto"/>
            </w:tcBorders>
          </w:tcPr>
          <w:p w14:paraId="1C7FAA8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10 - 23.5</w:t>
            </w:r>
          </w:p>
        </w:tc>
        <w:tc>
          <w:tcPr>
            <w:tcW w:w="1607" w:type="dxa"/>
          </w:tcPr>
          <w:p w14:paraId="68BE5283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3 - 23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14:paraId="68705862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B20F85" w:rsidRPr="006E3E89" w14:paraId="1410B6FA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tcBorders>
              <w:bottom w:val="single" w:sz="4" w:space="0" w:color="auto"/>
            </w:tcBorders>
          </w:tcPr>
          <w:p w14:paraId="27E5EC95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Min - Max</w:t>
            </w:r>
          </w:p>
        </w:tc>
        <w:tc>
          <w:tcPr>
            <w:tcW w:w="1606" w:type="dxa"/>
            <w:tcBorders>
              <w:bottom w:val="single" w:sz="4" w:space="0" w:color="auto"/>
              <w:right w:val="double" w:sz="4" w:space="0" w:color="auto"/>
            </w:tcBorders>
          </w:tcPr>
          <w:p w14:paraId="3AB1CA0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0 - 161</w:t>
            </w:r>
          </w:p>
        </w:tc>
        <w:tc>
          <w:tcPr>
            <w:tcW w:w="1607" w:type="dxa"/>
            <w:tcBorders>
              <w:left w:val="double" w:sz="4" w:space="0" w:color="auto"/>
              <w:bottom w:val="single" w:sz="4" w:space="0" w:color="auto"/>
            </w:tcBorders>
          </w:tcPr>
          <w:p w14:paraId="51A117D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0 - 161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14:paraId="2C1D232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0 - 127</w:t>
            </w:r>
          </w:p>
        </w:tc>
        <w:tc>
          <w:tcPr>
            <w:tcW w:w="1564" w:type="dxa"/>
            <w:tcBorders>
              <w:top w:val="nil"/>
              <w:bottom w:val="single" w:sz="4" w:space="0" w:color="auto"/>
            </w:tcBorders>
          </w:tcPr>
          <w:p w14:paraId="74DB171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305AF9" w:rsidRPr="006E3E89" w14:paraId="287C892D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5"/>
            <w:tcBorders>
              <w:top w:val="single" w:sz="4" w:space="0" w:color="auto"/>
            </w:tcBorders>
          </w:tcPr>
          <w:p w14:paraId="3DDED41F" w14:textId="77777777" w:rsidR="00305AF9" w:rsidRPr="006E3E89" w:rsidRDefault="00305AF9" w:rsidP="006E3E89">
            <w:pPr>
              <w:tabs>
                <w:tab w:val="right" w:pos="8825"/>
              </w:tabs>
              <w:spacing w:after="40" w:line="312" w:lineRule="auto"/>
              <w:jc w:val="lef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  <w:lang w:val="en-US"/>
              </w:rPr>
              <w:t xml:space="preserve">Apheresis to transfusion (‘vein to </w:t>
            </w:r>
            <w:proofErr w:type="gramStart"/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  <w:lang w:val="en-US"/>
              </w:rPr>
              <w:t>vein‘</w:t>
            </w:r>
            <w:proofErr w:type="gramEnd"/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  <w:lang w:val="en-US"/>
              </w:rPr>
              <w:t>, days)</w:t>
            </w: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21"/>
                <w:szCs w:val="21"/>
                <w:lang w:val="en-US"/>
              </w:rPr>
              <w:tab/>
              <w:t>&lt; 0.0001</w:t>
            </w:r>
          </w:p>
        </w:tc>
      </w:tr>
      <w:tr w:rsidR="00B20F85" w:rsidRPr="006E3E89" w14:paraId="5042EBF4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4BEC8F66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Mean (SEM)</w:t>
            </w:r>
            <w:r w:rsidRPr="006E3E89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1606" w:type="dxa"/>
            <w:tcBorders>
              <w:right w:val="double" w:sz="4" w:space="0" w:color="auto"/>
            </w:tcBorders>
          </w:tcPr>
          <w:p w14:paraId="4D4613B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39.1 (1.0)</w:t>
            </w:r>
          </w:p>
        </w:tc>
        <w:tc>
          <w:tcPr>
            <w:tcW w:w="1607" w:type="dxa"/>
            <w:tcBorders>
              <w:left w:val="double" w:sz="4" w:space="0" w:color="auto"/>
            </w:tcBorders>
          </w:tcPr>
          <w:p w14:paraId="146F679E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30.2 (0.4)</w:t>
            </w:r>
          </w:p>
        </w:tc>
        <w:tc>
          <w:tcPr>
            <w:tcW w:w="1607" w:type="dxa"/>
          </w:tcPr>
          <w:p w14:paraId="10E6CFD9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51.2 (1.8)</w:t>
            </w:r>
          </w:p>
        </w:tc>
        <w:tc>
          <w:tcPr>
            <w:tcW w:w="1564" w:type="dxa"/>
            <w:tcBorders>
              <w:bottom w:val="nil"/>
            </w:tcBorders>
          </w:tcPr>
          <w:p w14:paraId="01C07B32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B20F85" w:rsidRPr="006E3E89" w14:paraId="4A36B5D0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3262D1BA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Median</w:t>
            </w:r>
          </w:p>
        </w:tc>
        <w:tc>
          <w:tcPr>
            <w:tcW w:w="1606" w:type="dxa"/>
            <w:tcBorders>
              <w:right w:val="double" w:sz="4" w:space="0" w:color="auto"/>
            </w:tcBorders>
          </w:tcPr>
          <w:p w14:paraId="14148E23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34</w:t>
            </w:r>
          </w:p>
        </w:tc>
        <w:tc>
          <w:tcPr>
            <w:tcW w:w="1607" w:type="dxa"/>
            <w:tcBorders>
              <w:left w:val="double" w:sz="4" w:space="0" w:color="auto"/>
            </w:tcBorders>
          </w:tcPr>
          <w:p w14:paraId="739D85B7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28</w:t>
            </w:r>
          </w:p>
        </w:tc>
        <w:tc>
          <w:tcPr>
            <w:tcW w:w="1607" w:type="dxa"/>
          </w:tcPr>
          <w:p w14:paraId="7D1FB5B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45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14:paraId="448C020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B20F85" w:rsidRPr="006E3E89" w14:paraId="3993DDDD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2FE9BC4A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IQR</w:t>
            </w:r>
          </w:p>
        </w:tc>
        <w:tc>
          <w:tcPr>
            <w:tcW w:w="1606" w:type="dxa"/>
            <w:tcBorders>
              <w:right w:val="double" w:sz="4" w:space="0" w:color="auto"/>
            </w:tcBorders>
          </w:tcPr>
          <w:p w14:paraId="34E9208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28 - 45</w:t>
            </w:r>
          </w:p>
        </w:tc>
        <w:tc>
          <w:tcPr>
            <w:tcW w:w="1607" w:type="dxa"/>
            <w:tcBorders>
              <w:left w:val="double" w:sz="4" w:space="0" w:color="auto"/>
            </w:tcBorders>
          </w:tcPr>
          <w:p w14:paraId="6E92878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26 - 32.5</w:t>
            </w:r>
          </w:p>
        </w:tc>
        <w:tc>
          <w:tcPr>
            <w:tcW w:w="1607" w:type="dxa"/>
          </w:tcPr>
          <w:p w14:paraId="0665483E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39 - 57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14:paraId="7691270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B20F85" w:rsidRPr="006E3E89" w14:paraId="000C207C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tcBorders>
              <w:bottom w:val="single" w:sz="4" w:space="0" w:color="auto"/>
            </w:tcBorders>
          </w:tcPr>
          <w:p w14:paraId="78B32D57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Min - Max</w:t>
            </w:r>
          </w:p>
        </w:tc>
        <w:tc>
          <w:tcPr>
            <w:tcW w:w="1606" w:type="dxa"/>
            <w:tcBorders>
              <w:bottom w:val="single" w:sz="4" w:space="0" w:color="auto"/>
              <w:right w:val="double" w:sz="4" w:space="0" w:color="auto"/>
            </w:tcBorders>
          </w:tcPr>
          <w:p w14:paraId="0CDF5C7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20 - 225</w:t>
            </w:r>
          </w:p>
        </w:tc>
        <w:tc>
          <w:tcPr>
            <w:tcW w:w="1607" w:type="dxa"/>
            <w:tcBorders>
              <w:left w:val="double" w:sz="4" w:space="0" w:color="auto"/>
              <w:bottom w:val="single" w:sz="4" w:space="0" w:color="auto"/>
            </w:tcBorders>
          </w:tcPr>
          <w:p w14:paraId="6FEA1C03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20 - 55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14:paraId="03418B7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28 - 225</w:t>
            </w:r>
          </w:p>
        </w:tc>
        <w:tc>
          <w:tcPr>
            <w:tcW w:w="1564" w:type="dxa"/>
            <w:tcBorders>
              <w:top w:val="nil"/>
              <w:bottom w:val="single" w:sz="4" w:space="0" w:color="auto"/>
            </w:tcBorders>
          </w:tcPr>
          <w:p w14:paraId="048F145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</w:tbl>
    <w:p w14:paraId="6B9D55A9" w14:textId="0DEC1954" w:rsidR="0032355D" w:rsidRDefault="0032355D" w:rsidP="00B20F85">
      <w:pPr>
        <w:rPr>
          <w:rFonts w:cstheme="minorHAnsi"/>
          <w:i/>
          <w:iCs/>
          <w:sz w:val="21"/>
          <w:szCs w:val="21"/>
        </w:rPr>
      </w:pPr>
    </w:p>
    <w:p w14:paraId="162A1DAD" w14:textId="1745F754" w:rsidR="0032355D" w:rsidRDefault="006E3E89" w:rsidP="004E058C">
      <w:pPr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SDC,</w:t>
      </w:r>
      <w:r w:rsidR="0032355D" w:rsidRPr="0032355D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Table </w:t>
      </w:r>
      <w:r w:rsidR="0073149C">
        <w:rPr>
          <w:rFonts w:ascii="Arial" w:eastAsia="Times New Roman" w:hAnsi="Arial" w:cs="Arial"/>
          <w:b/>
          <w:bCs/>
          <w:color w:val="000000"/>
          <w:sz w:val="22"/>
          <w:szCs w:val="22"/>
        </w:rPr>
        <w:t>4</w:t>
      </w:r>
      <w:r w:rsidR="0032355D" w:rsidRPr="0032355D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: </w:t>
      </w:r>
      <w:r w:rsidR="0032355D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Product-specific treatment intervals </w:t>
      </w:r>
    </w:p>
    <w:p w14:paraId="68C12AAC" w14:textId="4367DDE0" w:rsidR="0032355D" w:rsidRPr="0032355D" w:rsidRDefault="0032355D" w:rsidP="004E058C">
      <w:pPr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Time intervals between indication, </w:t>
      </w:r>
      <w:proofErr w:type="gramStart"/>
      <w:r>
        <w:rPr>
          <w:rFonts w:ascii="Arial" w:eastAsia="Times New Roman" w:hAnsi="Arial" w:cs="Arial"/>
          <w:color w:val="000000"/>
          <w:sz w:val="22"/>
          <w:szCs w:val="22"/>
        </w:rPr>
        <w:t>apheresis</w:t>
      </w:r>
      <w:proofErr w:type="gramEnd"/>
      <w:r>
        <w:rPr>
          <w:rFonts w:ascii="Arial" w:eastAsia="Times New Roman" w:hAnsi="Arial" w:cs="Arial"/>
          <w:color w:val="000000"/>
          <w:sz w:val="22"/>
          <w:szCs w:val="22"/>
        </w:rPr>
        <w:t xml:space="preserve"> and infusion timepoints are given in days. </w:t>
      </w:r>
      <w:r w:rsidRPr="0032355D">
        <w:rPr>
          <w:rFonts w:ascii="Arial" w:eastAsia="Times New Roman" w:hAnsi="Arial" w:cs="Arial"/>
          <w:color w:val="000000"/>
          <w:sz w:val="22"/>
          <w:szCs w:val="22"/>
        </w:rPr>
        <w:t xml:space="preserve">Statistical significance (p &lt; 0.05) between </w:t>
      </w:r>
      <w:r>
        <w:rPr>
          <w:rFonts w:ascii="Arial" w:eastAsia="Times New Roman" w:hAnsi="Arial" w:cs="Arial"/>
          <w:color w:val="000000"/>
          <w:sz w:val="22"/>
          <w:szCs w:val="22"/>
        </w:rPr>
        <w:t>Axi-cel</w:t>
      </w:r>
      <w:r w:rsidRPr="0032355D">
        <w:rPr>
          <w:rFonts w:ascii="Arial" w:eastAsia="Times New Roman" w:hAnsi="Arial" w:cs="Arial"/>
          <w:color w:val="000000"/>
          <w:sz w:val="22"/>
          <w:szCs w:val="22"/>
        </w:rPr>
        <w:t xml:space="preserve"> and </w:t>
      </w:r>
      <w:r>
        <w:rPr>
          <w:rFonts w:ascii="Arial" w:eastAsia="Times New Roman" w:hAnsi="Arial" w:cs="Arial"/>
          <w:color w:val="000000"/>
          <w:sz w:val="22"/>
          <w:szCs w:val="22"/>
        </w:rPr>
        <w:t>Tisa-cel</w:t>
      </w:r>
      <w:r w:rsidRPr="0032355D">
        <w:rPr>
          <w:rFonts w:ascii="Arial" w:eastAsia="Times New Roman" w:hAnsi="Arial" w:cs="Arial"/>
          <w:color w:val="000000"/>
          <w:sz w:val="22"/>
          <w:szCs w:val="22"/>
        </w:rPr>
        <w:t xml:space="preserve"> patients was determined by Mann-Whitney test.</w:t>
      </w:r>
    </w:p>
    <w:p w14:paraId="35945268" w14:textId="77777777" w:rsidR="0032355D" w:rsidRDefault="0032355D" w:rsidP="00B20F85">
      <w:pPr>
        <w:rPr>
          <w:rFonts w:cstheme="minorHAnsi"/>
          <w:i/>
          <w:iCs/>
          <w:sz w:val="21"/>
          <w:szCs w:val="21"/>
        </w:rPr>
      </w:pPr>
    </w:p>
    <w:p w14:paraId="746A53DD" w14:textId="0BD7A9E4" w:rsidR="00B20F85" w:rsidRDefault="00B20F85" w:rsidP="00B20F85">
      <w:pPr>
        <w:rPr>
          <w:rFonts w:cstheme="minorHAnsi"/>
          <w:i/>
          <w:iCs/>
          <w:sz w:val="21"/>
          <w:szCs w:val="21"/>
        </w:rPr>
      </w:pPr>
      <w:r>
        <w:rPr>
          <w:rFonts w:cstheme="minorHAnsi"/>
          <w:i/>
          <w:iCs/>
          <w:sz w:val="21"/>
          <w:szCs w:val="21"/>
        </w:rPr>
        <w:br w:type="page"/>
      </w:r>
    </w:p>
    <w:p w14:paraId="1A58008D" w14:textId="24B3B52C" w:rsidR="004E058C" w:rsidRDefault="004E058C" w:rsidP="00B20F85">
      <w:pPr>
        <w:rPr>
          <w:rFonts w:cstheme="minorHAnsi"/>
          <w:b/>
          <w:bCs/>
        </w:rPr>
        <w:sectPr w:rsidR="004E058C" w:rsidSect="00FA0A8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202AF7" w14:textId="722E0DE8" w:rsidR="00B20F85" w:rsidRPr="006E3E89" w:rsidRDefault="006E3E89" w:rsidP="00B20F85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lastRenderedPageBreak/>
        <w:t xml:space="preserve">SDC, </w:t>
      </w:r>
      <w:r w:rsidR="004E058C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Table </w:t>
      </w:r>
      <w:r w:rsidR="0073149C">
        <w:rPr>
          <w:rFonts w:ascii="Arial" w:eastAsia="Times New Roman" w:hAnsi="Arial" w:cs="Arial"/>
          <w:b/>
          <w:bCs/>
          <w:color w:val="000000"/>
          <w:sz w:val="22"/>
          <w:szCs w:val="22"/>
        </w:rPr>
        <w:t>5</w:t>
      </w:r>
      <w:r w:rsidR="00B20F85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– </w:t>
      </w:r>
      <w:proofErr w:type="gramStart"/>
      <w:r w:rsidR="00B20F85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>Patients‘ characteristics</w:t>
      </w:r>
      <w:proofErr w:type="gramEnd"/>
      <w:r w:rsidR="00B20F85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by Product</w:t>
      </w:r>
    </w:p>
    <w:p w14:paraId="231D0BF1" w14:textId="77777777" w:rsidR="00B20F85" w:rsidRPr="00A36101" w:rsidRDefault="00B20F85" w:rsidP="00B20F85">
      <w:pPr>
        <w:rPr>
          <w:rFonts w:cstheme="minorHAnsi"/>
        </w:rPr>
      </w:pPr>
    </w:p>
    <w:tbl>
      <w:tblPr>
        <w:tblStyle w:val="Gitternetztabelle3"/>
        <w:tblW w:w="0" w:type="auto"/>
        <w:tblLook w:val="06A0" w:firstRow="1" w:lastRow="0" w:firstColumn="1" w:lastColumn="0" w:noHBand="1" w:noVBand="1"/>
      </w:tblPr>
      <w:tblGrid>
        <w:gridCol w:w="2121"/>
        <w:gridCol w:w="567"/>
        <w:gridCol w:w="1860"/>
        <w:gridCol w:w="1766"/>
        <w:gridCol w:w="1766"/>
        <w:gridCol w:w="992"/>
      </w:tblGrid>
      <w:tr w:rsidR="00B20F85" w:rsidRPr="006E3E89" w14:paraId="5CD93C6B" w14:textId="77777777" w:rsidTr="00E83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1" w:type="dxa"/>
            <w:vAlign w:val="bottom"/>
          </w:tcPr>
          <w:p w14:paraId="2C5FD799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  <w:vAlign w:val="bottom"/>
          </w:tcPr>
          <w:p w14:paraId="73DEC126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n</w:t>
            </w:r>
          </w:p>
        </w:tc>
        <w:tc>
          <w:tcPr>
            <w:tcW w:w="1860" w:type="dxa"/>
            <w:tcBorders>
              <w:right w:val="double" w:sz="4" w:space="0" w:color="auto"/>
            </w:tcBorders>
            <w:vAlign w:val="bottom"/>
          </w:tcPr>
          <w:p w14:paraId="43A4D454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eastAsia="Roboto" w:hAnsi="Arial" w:cs="Arial"/>
                <w:sz w:val="18"/>
                <w:szCs w:val="18"/>
              </w:rPr>
              <w:t xml:space="preserve">All patients </w:t>
            </w:r>
          </w:p>
          <w:p w14:paraId="2572685E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6E3E89">
              <w:rPr>
                <w:rFonts w:ascii="Arial" w:eastAsia="Roboto" w:hAnsi="Arial" w:cs="Arial"/>
                <w:b w:val="0"/>
                <w:bCs w:val="0"/>
                <w:sz w:val="18"/>
                <w:szCs w:val="18"/>
              </w:rPr>
              <w:t>(n=3</w:t>
            </w:r>
            <w:r w:rsidRPr="006E3E8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74</w:t>
            </w:r>
            <w:r w:rsidRPr="006E3E89">
              <w:rPr>
                <w:rFonts w:ascii="Arial" w:eastAsia="Roboto" w:hAnsi="Arial" w:cs="Arial"/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1766" w:type="dxa"/>
            <w:tcBorders>
              <w:left w:val="double" w:sz="4" w:space="0" w:color="auto"/>
            </w:tcBorders>
            <w:vAlign w:val="bottom"/>
          </w:tcPr>
          <w:p w14:paraId="311AAD6C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Axi-cel</w:t>
            </w:r>
          </w:p>
          <w:p w14:paraId="677BE8D1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(n=214)</w:t>
            </w:r>
          </w:p>
        </w:tc>
        <w:tc>
          <w:tcPr>
            <w:tcW w:w="1766" w:type="dxa"/>
            <w:vAlign w:val="bottom"/>
          </w:tcPr>
          <w:p w14:paraId="179F78F0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Tisa-cel</w:t>
            </w:r>
          </w:p>
          <w:p w14:paraId="5BEF4EF3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(n=160)</w:t>
            </w:r>
          </w:p>
        </w:tc>
        <w:tc>
          <w:tcPr>
            <w:tcW w:w="992" w:type="dxa"/>
            <w:vAlign w:val="bottom"/>
          </w:tcPr>
          <w:p w14:paraId="06B4B039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p</w:t>
            </w:r>
          </w:p>
        </w:tc>
      </w:tr>
      <w:tr w:rsidR="00B20F85" w:rsidRPr="006E3E89" w14:paraId="5123CFA6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14EFBA2D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18"/>
                <w:szCs w:val="18"/>
              </w:rPr>
              <w:t xml:space="preserve">Age, </w:t>
            </w:r>
            <w:r w:rsidRPr="006E3E89">
              <w:rPr>
                <w:rFonts w:ascii="Arial" w:hAnsi="Arial" w:cs="Arial"/>
                <w:sz w:val="18"/>
                <w:szCs w:val="18"/>
              </w:rPr>
              <w:t xml:space="preserve">years </w:t>
            </w:r>
            <w:r w:rsidRPr="006E3E89">
              <w:rPr>
                <w:rFonts w:ascii="Arial" w:hAnsi="Arial" w:cs="Arial"/>
                <w:sz w:val="18"/>
                <w:szCs w:val="18"/>
              </w:rPr>
              <w:br/>
              <w:t>(median, range)</w:t>
            </w:r>
          </w:p>
        </w:tc>
        <w:tc>
          <w:tcPr>
            <w:tcW w:w="567" w:type="dxa"/>
            <w:tcBorders>
              <w:left w:val="nil"/>
              <w:bottom w:val="nil"/>
            </w:tcBorders>
          </w:tcPr>
          <w:p w14:paraId="4BC61A0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373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09E0610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 xml:space="preserve">64 </w:t>
            </w:r>
            <w:r w:rsidRPr="006E3E89">
              <w:rPr>
                <w:rFonts w:ascii="Arial" w:hAnsi="Arial" w:cs="Arial"/>
                <w:sz w:val="18"/>
                <w:szCs w:val="18"/>
              </w:rPr>
              <w:br/>
            </w:r>
            <w:r w:rsidRPr="006E3E89">
              <w:rPr>
                <w:rFonts w:ascii="Arial" w:hAnsi="Arial" w:cs="Arial"/>
                <w:i/>
                <w:iCs/>
                <w:sz w:val="18"/>
                <w:szCs w:val="18"/>
              </w:rPr>
              <w:t>(19-85)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7FF7C42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64</w:t>
            </w:r>
            <w:r w:rsidRPr="006E3E89">
              <w:rPr>
                <w:rFonts w:ascii="Arial" w:hAnsi="Arial" w:cs="Arial"/>
                <w:sz w:val="18"/>
                <w:szCs w:val="18"/>
              </w:rPr>
              <w:br/>
            </w:r>
            <w:r w:rsidRPr="006E3E89">
              <w:rPr>
                <w:rFonts w:ascii="Arial" w:hAnsi="Arial" w:cs="Arial"/>
                <w:i/>
                <w:iCs/>
                <w:sz w:val="18"/>
                <w:szCs w:val="18"/>
              </w:rPr>
              <w:t>(19-79)</w:t>
            </w:r>
          </w:p>
        </w:tc>
        <w:tc>
          <w:tcPr>
            <w:tcW w:w="1766" w:type="dxa"/>
          </w:tcPr>
          <w:p w14:paraId="5F2DE2B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 xml:space="preserve">64 </w:t>
            </w:r>
            <w:r w:rsidRPr="006E3E89">
              <w:rPr>
                <w:rFonts w:ascii="Arial" w:hAnsi="Arial" w:cs="Arial"/>
                <w:sz w:val="18"/>
                <w:szCs w:val="18"/>
              </w:rPr>
              <w:br/>
            </w:r>
            <w:r w:rsidRPr="006E3E89">
              <w:rPr>
                <w:rFonts w:ascii="Arial" w:hAnsi="Arial" w:cs="Arial"/>
                <w:i/>
                <w:iCs/>
                <w:sz w:val="18"/>
                <w:szCs w:val="18"/>
              </w:rPr>
              <w:t>(23-85)</w:t>
            </w:r>
          </w:p>
        </w:tc>
        <w:tc>
          <w:tcPr>
            <w:tcW w:w="992" w:type="dxa"/>
          </w:tcPr>
          <w:p w14:paraId="7E60582E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0.43</w:t>
            </w:r>
          </w:p>
        </w:tc>
      </w:tr>
      <w:tr w:rsidR="00B20F85" w:rsidRPr="006E3E89" w14:paraId="70D76592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gridSpan w:val="2"/>
            <w:tcBorders>
              <w:bottom w:val="single" w:sz="6" w:space="0" w:color="auto"/>
            </w:tcBorders>
          </w:tcPr>
          <w:p w14:paraId="65E205B8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18"/>
                <w:szCs w:val="18"/>
              </w:rPr>
              <w:t>Gender</w:t>
            </w:r>
            <w:r w:rsidRPr="006E3E89">
              <w:rPr>
                <w:rFonts w:ascii="Arial" w:hAnsi="Arial" w:cs="Arial"/>
                <w:sz w:val="18"/>
                <w:szCs w:val="18"/>
              </w:rPr>
              <w:t xml:space="preserve"> (female)</w:t>
            </w:r>
          </w:p>
        </w:tc>
        <w:tc>
          <w:tcPr>
            <w:tcW w:w="1860" w:type="dxa"/>
            <w:tcBorders>
              <w:bottom w:val="single" w:sz="6" w:space="0" w:color="auto"/>
              <w:right w:val="double" w:sz="4" w:space="0" w:color="auto"/>
            </w:tcBorders>
          </w:tcPr>
          <w:p w14:paraId="2B024BB2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162 (43.3%)</w:t>
            </w:r>
          </w:p>
        </w:tc>
        <w:tc>
          <w:tcPr>
            <w:tcW w:w="1766" w:type="dxa"/>
            <w:tcBorders>
              <w:left w:val="double" w:sz="4" w:space="0" w:color="auto"/>
              <w:bottom w:val="single" w:sz="6" w:space="0" w:color="auto"/>
            </w:tcBorders>
          </w:tcPr>
          <w:p w14:paraId="121EBC1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95 (44.4%)</w:t>
            </w:r>
          </w:p>
        </w:tc>
        <w:tc>
          <w:tcPr>
            <w:tcW w:w="1766" w:type="dxa"/>
            <w:tcBorders>
              <w:bottom w:val="single" w:sz="6" w:space="0" w:color="auto"/>
            </w:tcBorders>
          </w:tcPr>
          <w:p w14:paraId="402187D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67 (41.9%)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14:paraId="6164BDEF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0.14</w:t>
            </w:r>
          </w:p>
        </w:tc>
      </w:tr>
      <w:tr w:rsidR="00B20F85" w:rsidRPr="006E3E89" w14:paraId="1876083B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top w:val="single" w:sz="6" w:space="0" w:color="auto"/>
              <w:right w:val="nil"/>
            </w:tcBorders>
          </w:tcPr>
          <w:p w14:paraId="12607386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6E3E89">
              <w:rPr>
                <w:rFonts w:ascii="Arial" w:eastAsia="Roboto" w:hAnsi="Arial" w:cs="Arial"/>
                <w:b/>
                <w:bCs/>
                <w:i w:val="0"/>
                <w:iCs w:val="0"/>
                <w:sz w:val="18"/>
                <w:szCs w:val="18"/>
              </w:rPr>
              <w:t>Histology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93C9B4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374</w:t>
            </w:r>
          </w:p>
        </w:tc>
        <w:tc>
          <w:tcPr>
            <w:tcW w:w="5392" w:type="dxa"/>
            <w:gridSpan w:val="3"/>
            <w:tcBorders>
              <w:top w:val="single" w:sz="6" w:space="0" w:color="auto"/>
              <w:left w:val="nil"/>
              <w:right w:val="nil"/>
            </w:tcBorders>
          </w:tcPr>
          <w:p w14:paraId="451E6E4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3B787D9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3E89">
              <w:rPr>
                <w:rFonts w:ascii="Arial" w:hAnsi="Arial" w:cs="Arial"/>
                <w:b/>
                <w:bCs/>
                <w:sz w:val="18"/>
                <w:szCs w:val="18"/>
              </w:rPr>
              <w:t>0.03</w:t>
            </w:r>
          </w:p>
        </w:tc>
      </w:tr>
      <w:tr w:rsidR="00B20F85" w:rsidRPr="006E3E89" w14:paraId="51F33C87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gridSpan w:val="2"/>
          </w:tcPr>
          <w:p w14:paraId="03269023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ab/>
              <w:t>DLBCL</w:t>
            </w:r>
          </w:p>
        </w:tc>
        <w:tc>
          <w:tcPr>
            <w:tcW w:w="1860" w:type="dxa"/>
            <w:tcBorders>
              <w:top w:val="single" w:sz="4" w:space="0" w:color="auto"/>
              <w:right w:val="double" w:sz="4" w:space="0" w:color="auto"/>
            </w:tcBorders>
          </w:tcPr>
          <w:p w14:paraId="797433E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266 (71.1%)</w:t>
            </w:r>
          </w:p>
        </w:tc>
        <w:tc>
          <w:tcPr>
            <w:tcW w:w="1766" w:type="dxa"/>
            <w:tcBorders>
              <w:top w:val="single" w:sz="4" w:space="0" w:color="auto"/>
              <w:left w:val="double" w:sz="4" w:space="0" w:color="auto"/>
            </w:tcBorders>
          </w:tcPr>
          <w:p w14:paraId="79F71C2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149 (69.6%)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14:paraId="1800C83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117 (73.1%)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710E7033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0F85" w:rsidRPr="006E3E89" w14:paraId="26052CC4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gridSpan w:val="2"/>
          </w:tcPr>
          <w:p w14:paraId="7B65E560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ab/>
              <w:t>transformed lymphoma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0F1D8804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99 (26.5%)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7AF7C9E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56 (26.2%)</w:t>
            </w:r>
          </w:p>
        </w:tc>
        <w:tc>
          <w:tcPr>
            <w:tcW w:w="1766" w:type="dxa"/>
          </w:tcPr>
          <w:p w14:paraId="0F09BBE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43 (26.9%)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37B234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0F85" w:rsidRPr="006E3E89" w14:paraId="11BFFBDA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gridSpan w:val="2"/>
            <w:tcBorders>
              <w:bottom w:val="single" w:sz="6" w:space="0" w:color="auto"/>
            </w:tcBorders>
          </w:tcPr>
          <w:p w14:paraId="2F932A1B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ab/>
              <w:t>PMBCL</w:t>
            </w:r>
          </w:p>
        </w:tc>
        <w:tc>
          <w:tcPr>
            <w:tcW w:w="1860" w:type="dxa"/>
            <w:tcBorders>
              <w:bottom w:val="single" w:sz="6" w:space="0" w:color="auto"/>
              <w:right w:val="double" w:sz="4" w:space="0" w:color="auto"/>
            </w:tcBorders>
          </w:tcPr>
          <w:p w14:paraId="3BC30B8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9 (2.4%)</w:t>
            </w:r>
          </w:p>
        </w:tc>
        <w:tc>
          <w:tcPr>
            <w:tcW w:w="1766" w:type="dxa"/>
            <w:tcBorders>
              <w:left w:val="double" w:sz="4" w:space="0" w:color="auto"/>
              <w:bottom w:val="single" w:sz="6" w:space="0" w:color="auto"/>
            </w:tcBorders>
          </w:tcPr>
          <w:p w14:paraId="449EED79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9 (4.2%)</w:t>
            </w:r>
          </w:p>
        </w:tc>
        <w:tc>
          <w:tcPr>
            <w:tcW w:w="1766" w:type="dxa"/>
            <w:tcBorders>
              <w:bottom w:val="single" w:sz="6" w:space="0" w:color="auto"/>
            </w:tcBorders>
          </w:tcPr>
          <w:p w14:paraId="20091F37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bottom w:val="single" w:sz="6" w:space="0" w:color="auto"/>
            </w:tcBorders>
          </w:tcPr>
          <w:p w14:paraId="18FF35CF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0F85" w:rsidRPr="006E3E89" w14:paraId="1B9CBA74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0D2D8FC6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18"/>
                <w:szCs w:val="18"/>
              </w:rPr>
              <w:t xml:space="preserve">Response to </w:t>
            </w:r>
            <w:r w:rsidRPr="006E3E89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18"/>
                <w:szCs w:val="18"/>
              </w:rPr>
              <w:t>previous therapy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14D89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372</w:t>
            </w:r>
          </w:p>
        </w:tc>
        <w:tc>
          <w:tcPr>
            <w:tcW w:w="53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3859D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DC25A3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3E89">
              <w:rPr>
                <w:rFonts w:ascii="Arial" w:hAnsi="Arial" w:cs="Arial"/>
                <w:b/>
                <w:bCs/>
                <w:sz w:val="18"/>
                <w:szCs w:val="18"/>
              </w:rPr>
              <w:t>0.005</w:t>
            </w:r>
          </w:p>
        </w:tc>
      </w:tr>
      <w:tr w:rsidR="00B20F85" w:rsidRPr="006E3E89" w14:paraId="5D8A668E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gridSpan w:val="2"/>
          </w:tcPr>
          <w:p w14:paraId="66A9BE9E" w14:textId="77777777" w:rsidR="00B20F85" w:rsidRPr="006E3E89" w:rsidRDefault="00B20F85" w:rsidP="006E3E89">
            <w:pPr>
              <w:tabs>
                <w:tab w:val="left" w:pos="178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ab/>
              <w:t>relapsed</w:t>
            </w:r>
          </w:p>
        </w:tc>
        <w:tc>
          <w:tcPr>
            <w:tcW w:w="1860" w:type="dxa"/>
            <w:tcBorders>
              <w:top w:val="single" w:sz="4" w:space="0" w:color="auto"/>
              <w:right w:val="double" w:sz="4" w:space="0" w:color="auto"/>
            </w:tcBorders>
          </w:tcPr>
          <w:p w14:paraId="1902A25F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99 (26.7%)</w:t>
            </w:r>
          </w:p>
        </w:tc>
        <w:tc>
          <w:tcPr>
            <w:tcW w:w="1766" w:type="dxa"/>
            <w:tcBorders>
              <w:top w:val="single" w:sz="4" w:space="0" w:color="auto"/>
              <w:left w:val="double" w:sz="4" w:space="0" w:color="auto"/>
            </w:tcBorders>
          </w:tcPr>
          <w:p w14:paraId="151BCA5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50 (23.6%)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14:paraId="662F1FEF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49 (30.6%)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38E8FEF9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0F85" w:rsidRPr="006E3E89" w14:paraId="30882B97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gridSpan w:val="2"/>
          </w:tcPr>
          <w:p w14:paraId="218D3619" w14:textId="77777777" w:rsidR="00B20F85" w:rsidRPr="006E3E89" w:rsidRDefault="00B20F85" w:rsidP="006E3E89">
            <w:pPr>
              <w:tabs>
                <w:tab w:val="left" w:pos="178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ab/>
              <w:t>refractory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41610EC2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151 (40.7%)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438012BA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78 (36.8%)</w:t>
            </w:r>
          </w:p>
        </w:tc>
        <w:tc>
          <w:tcPr>
            <w:tcW w:w="1766" w:type="dxa"/>
          </w:tcPr>
          <w:p w14:paraId="235B32C7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73 (45.6%)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CB7C18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0F85" w:rsidRPr="006E3E89" w14:paraId="6E87C78B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gridSpan w:val="2"/>
            <w:tcBorders>
              <w:bottom w:val="single" w:sz="4" w:space="0" w:color="auto"/>
            </w:tcBorders>
          </w:tcPr>
          <w:p w14:paraId="72FD07B5" w14:textId="77777777" w:rsidR="00B20F85" w:rsidRPr="006E3E89" w:rsidRDefault="00B20F85" w:rsidP="006E3E89">
            <w:pPr>
              <w:tabs>
                <w:tab w:val="left" w:pos="178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ab/>
              <w:t>prim. refractory</w:t>
            </w:r>
          </w:p>
        </w:tc>
        <w:tc>
          <w:tcPr>
            <w:tcW w:w="1860" w:type="dxa"/>
            <w:tcBorders>
              <w:bottom w:val="single" w:sz="4" w:space="0" w:color="auto"/>
              <w:right w:val="double" w:sz="4" w:space="0" w:color="auto"/>
            </w:tcBorders>
          </w:tcPr>
          <w:p w14:paraId="701DB25F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122 (32.9%)</w:t>
            </w:r>
          </w:p>
        </w:tc>
        <w:tc>
          <w:tcPr>
            <w:tcW w:w="1766" w:type="dxa"/>
            <w:tcBorders>
              <w:left w:val="double" w:sz="4" w:space="0" w:color="auto"/>
              <w:bottom w:val="single" w:sz="4" w:space="0" w:color="auto"/>
            </w:tcBorders>
          </w:tcPr>
          <w:p w14:paraId="3E50DE0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84 (39.6%)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14:paraId="3F625B3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38 (23.8%)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3B52B21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0F85" w:rsidRPr="006E3E89" w14:paraId="775C76A4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6"/>
            <w:tcBorders>
              <w:top w:val="single" w:sz="4" w:space="0" w:color="auto"/>
              <w:right w:val="nil"/>
            </w:tcBorders>
          </w:tcPr>
          <w:p w14:paraId="69FF047F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18"/>
                <w:szCs w:val="18"/>
                <w:lang w:val="en-US"/>
              </w:rPr>
              <w:t>Previous treatment (for LBCL)</w:t>
            </w:r>
          </w:p>
        </w:tc>
      </w:tr>
      <w:tr w:rsidR="00B20F85" w:rsidRPr="006E3E89" w14:paraId="1343A577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3140711B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  <w:r w:rsidRPr="006E3E89">
              <w:rPr>
                <w:rFonts w:ascii="Arial" w:hAnsi="Arial" w:cs="Arial"/>
                <w:sz w:val="18"/>
                <w:szCs w:val="18"/>
              </w:rPr>
              <w:t>auto-SCT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3FF8A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372</w:t>
            </w:r>
          </w:p>
        </w:tc>
        <w:tc>
          <w:tcPr>
            <w:tcW w:w="1860" w:type="dxa"/>
            <w:tcBorders>
              <w:left w:val="single" w:sz="4" w:space="0" w:color="auto"/>
              <w:right w:val="double" w:sz="4" w:space="0" w:color="auto"/>
            </w:tcBorders>
          </w:tcPr>
          <w:p w14:paraId="013291A2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98 (26.3%)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0C09B677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42 (19.8%)</w:t>
            </w:r>
          </w:p>
        </w:tc>
        <w:tc>
          <w:tcPr>
            <w:tcW w:w="1766" w:type="dxa"/>
          </w:tcPr>
          <w:p w14:paraId="6BA9B91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56 (35.0%)</w:t>
            </w:r>
          </w:p>
        </w:tc>
        <w:tc>
          <w:tcPr>
            <w:tcW w:w="992" w:type="dxa"/>
          </w:tcPr>
          <w:p w14:paraId="692D8B3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3E89">
              <w:rPr>
                <w:rFonts w:ascii="Arial" w:hAnsi="Arial" w:cs="Arial"/>
                <w:b/>
                <w:bCs/>
                <w:sz w:val="18"/>
                <w:szCs w:val="18"/>
              </w:rPr>
              <w:t>0.001</w:t>
            </w:r>
          </w:p>
        </w:tc>
      </w:tr>
      <w:tr w:rsidR="00B20F85" w:rsidRPr="006E3E89" w14:paraId="05639AED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252F74D6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>allo-SCT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A20ED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372</w:t>
            </w:r>
          </w:p>
        </w:tc>
        <w:tc>
          <w:tcPr>
            <w:tcW w:w="1860" w:type="dxa"/>
            <w:tcBorders>
              <w:left w:val="single" w:sz="4" w:space="0" w:color="auto"/>
              <w:right w:val="double" w:sz="4" w:space="0" w:color="auto"/>
            </w:tcBorders>
          </w:tcPr>
          <w:p w14:paraId="6C1FDA17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8 (2.2%)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1CFEA6F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6 (2.8%)</w:t>
            </w:r>
          </w:p>
        </w:tc>
        <w:tc>
          <w:tcPr>
            <w:tcW w:w="1766" w:type="dxa"/>
          </w:tcPr>
          <w:p w14:paraId="7057CF8E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2 (1.3%)</w:t>
            </w:r>
          </w:p>
        </w:tc>
        <w:tc>
          <w:tcPr>
            <w:tcW w:w="992" w:type="dxa"/>
          </w:tcPr>
          <w:p w14:paraId="73C2708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</w:rPr>
              <w:t>0.47</w:t>
            </w:r>
          </w:p>
        </w:tc>
      </w:tr>
      <w:tr w:rsidR="00B20F85" w:rsidRPr="006E3E89" w14:paraId="00AE6D1C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593B2C45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>therapy lines (excl. H&amp;B, median, IQR)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1E396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372</w:t>
            </w:r>
          </w:p>
        </w:tc>
        <w:tc>
          <w:tcPr>
            <w:tcW w:w="1860" w:type="dxa"/>
            <w:tcBorders>
              <w:left w:val="single" w:sz="4" w:space="0" w:color="auto"/>
              <w:right w:val="double" w:sz="4" w:space="0" w:color="auto"/>
            </w:tcBorders>
          </w:tcPr>
          <w:p w14:paraId="788D9C5A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3 (2-4)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6BB42AC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3 (2-4)</w:t>
            </w:r>
          </w:p>
        </w:tc>
        <w:tc>
          <w:tcPr>
            <w:tcW w:w="1766" w:type="dxa"/>
          </w:tcPr>
          <w:p w14:paraId="79D9ADF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3 (2-4)</w:t>
            </w:r>
          </w:p>
        </w:tc>
        <w:tc>
          <w:tcPr>
            <w:tcW w:w="992" w:type="dxa"/>
          </w:tcPr>
          <w:p w14:paraId="2EF4CEC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0.91</w:t>
            </w:r>
          </w:p>
        </w:tc>
      </w:tr>
      <w:tr w:rsidR="00B20F85" w:rsidRPr="006E3E89" w14:paraId="6C7B5E80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3E9C8E75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>holding therapy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11FCB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357</w:t>
            </w:r>
          </w:p>
        </w:tc>
        <w:tc>
          <w:tcPr>
            <w:tcW w:w="1860" w:type="dxa"/>
            <w:tcBorders>
              <w:left w:val="single" w:sz="4" w:space="0" w:color="auto"/>
              <w:right w:val="double" w:sz="4" w:space="0" w:color="auto"/>
            </w:tcBorders>
          </w:tcPr>
          <w:p w14:paraId="2817DD9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89 (24.9%)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369D4BD7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49 (24.9%)</w:t>
            </w:r>
          </w:p>
        </w:tc>
        <w:tc>
          <w:tcPr>
            <w:tcW w:w="1766" w:type="dxa"/>
          </w:tcPr>
          <w:p w14:paraId="4B734A5A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40 (25.0%)</w:t>
            </w:r>
          </w:p>
        </w:tc>
        <w:tc>
          <w:tcPr>
            <w:tcW w:w="992" w:type="dxa"/>
          </w:tcPr>
          <w:p w14:paraId="20F830F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0.99</w:t>
            </w:r>
          </w:p>
        </w:tc>
      </w:tr>
      <w:tr w:rsidR="00B20F85" w:rsidRPr="006E3E89" w14:paraId="2A1AAAE5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53E54E7B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 xml:space="preserve">bridging therapy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00B9C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371</w:t>
            </w:r>
          </w:p>
        </w:tc>
        <w:tc>
          <w:tcPr>
            <w:tcW w:w="1860" w:type="dxa"/>
            <w:tcBorders>
              <w:left w:val="single" w:sz="4" w:space="0" w:color="auto"/>
              <w:right w:val="double" w:sz="4" w:space="0" w:color="auto"/>
            </w:tcBorders>
          </w:tcPr>
          <w:p w14:paraId="79E49D4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296 (79.8%)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52728249" w14:textId="0064E148" w:rsidR="00B20F85" w:rsidRPr="006E3E89" w:rsidRDefault="00E32F5D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155</w:t>
            </w:r>
            <w:r w:rsidR="00B20F85" w:rsidRPr="006E3E89">
              <w:rPr>
                <w:rFonts w:ascii="Arial" w:hAnsi="Arial" w:cs="Arial"/>
                <w:sz w:val="18"/>
                <w:szCs w:val="18"/>
                <w:lang w:val="en-US"/>
              </w:rPr>
              <w:t xml:space="preserve"> (</w:t>
            </w: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72.8</w:t>
            </w:r>
            <w:r w:rsidR="00B20F85" w:rsidRPr="006E3E89">
              <w:rPr>
                <w:rFonts w:ascii="Arial" w:hAnsi="Arial" w:cs="Arial"/>
                <w:sz w:val="18"/>
                <w:szCs w:val="18"/>
                <w:lang w:val="en-US"/>
              </w:rPr>
              <w:t>%)</w:t>
            </w:r>
          </w:p>
        </w:tc>
        <w:tc>
          <w:tcPr>
            <w:tcW w:w="1766" w:type="dxa"/>
          </w:tcPr>
          <w:p w14:paraId="0DFD0E1A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148 (93.7%)</w:t>
            </w:r>
          </w:p>
        </w:tc>
        <w:tc>
          <w:tcPr>
            <w:tcW w:w="992" w:type="dxa"/>
          </w:tcPr>
          <w:p w14:paraId="4012BE4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&lt;0.0001</w:t>
            </w:r>
          </w:p>
        </w:tc>
      </w:tr>
      <w:tr w:rsidR="00B20F85" w:rsidRPr="006E3E89" w14:paraId="63D1EB66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bottom w:val="single" w:sz="4" w:space="0" w:color="auto"/>
              <w:right w:val="nil"/>
            </w:tcBorders>
          </w:tcPr>
          <w:p w14:paraId="5C1AEBC1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>therapy lines (incl. H&amp;B, median, IQR)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D33FC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372</w:t>
            </w:r>
          </w:p>
        </w:tc>
        <w:tc>
          <w:tcPr>
            <w:tcW w:w="186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6428804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4 (3-5)</w:t>
            </w:r>
          </w:p>
        </w:tc>
        <w:tc>
          <w:tcPr>
            <w:tcW w:w="1766" w:type="dxa"/>
            <w:tcBorders>
              <w:left w:val="double" w:sz="4" w:space="0" w:color="auto"/>
              <w:bottom w:val="single" w:sz="4" w:space="0" w:color="auto"/>
            </w:tcBorders>
          </w:tcPr>
          <w:p w14:paraId="3168C95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4 (3-5)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14:paraId="1BFFBCF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4 (3-5)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D00D40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0.03</w:t>
            </w:r>
          </w:p>
        </w:tc>
      </w:tr>
      <w:tr w:rsidR="00B20F85" w:rsidRPr="006E3E89" w14:paraId="549553E4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6"/>
            <w:tcBorders>
              <w:top w:val="single" w:sz="4" w:space="0" w:color="auto"/>
              <w:right w:val="nil"/>
            </w:tcBorders>
          </w:tcPr>
          <w:p w14:paraId="07409B60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18"/>
                <w:szCs w:val="18"/>
                <w:lang w:val="en-US"/>
              </w:rPr>
            </w:pPr>
            <w:r w:rsidRPr="006E3E89">
              <w:rPr>
                <w:rFonts w:ascii="Arial" w:eastAsia="Roboto" w:hAnsi="Arial" w:cs="Arial"/>
                <w:b/>
                <w:bCs/>
                <w:i w:val="0"/>
                <w:iCs w:val="0"/>
                <w:sz w:val="18"/>
                <w:szCs w:val="18"/>
                <w:lang w:val="en-US"/>
              </w:rPr>
              <w:t>Status at Indication for CAR T therapy</w:t>
            </w:r>
          </w:p>
        </w:tc>
      </w:tr>
      <w:tr w:rsidR="00B20F85" w:rsidRPr="006E3E89" w14:paraId="06C0B47E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7FC03D7F" w14:textId="77777777" w:rsidR="00B20F85" w:rsidRPr="006E3E89" w:rsidRDefault="00B20F85" w:rsidP="006E3E89">
            <w:pPr>
              <w:tabs>
                <w:tab w:val="left" w:pos="177"/>
              </w:tabs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>ECOG (median, IQR)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D043204" w14:textId="77777777" w:rsidR="00B20F85" w:rsidRPr="006E3E89" w:rsidRDefault="00B20F85" w:rsidP="006E3E89">
            <w:pPr>
              <w:tabs>
                <w:tab w:val="left" w:pos="177"/>
              </w:tabs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374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74FF871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 (0-1)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09EF3E34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 (0-1)</w:t>
            </w:r>
          </w:p>
        </w:tc>
        <w:tc>
          <w:tcPr>
            <w:tcW w:w="1766" w:type="dxa"/>
          </w:tcPr>
          <w:p w14:paraId="3A31FC4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 (0-1)</w:t>
            </w:r>
          </w:p>
        </w:tc>
        <w:tc>
          <w:tcPr>
            <w:tcW w:w="992" w:type="dxa"/>
          </w:tcPr>
          <w:p w14:paraId="2AA7E9CA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0.004</w:t>
            </w:r>
          </w:p>
        </w:tc>
      </w:tr>
      <w:tr w:rsidR="00B20F85" w:rsidRPr="006E3E89" w14:paraId="4D62FFAA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29D8EB8A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>Ann Arbor Stage ≥ 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01D0D59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374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439ECE22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81 (21.7%)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3E56C4BF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169 (79.0%)</w:t>
            </w:r>
          </w:p>
        </w:tc>
        <w:tc>
          <w:tcPr>
            <w:tcW w:w="1766" w:type="dxa"/>
          </w:tcPr>
          <w:p w14:paraId="21C6AE6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124 (77.5%)</w:t>
            </w:r>
          </w:p>
        </w:tc>
        <w:tc>
          <w:tcPr>
            <w:tcW w:w="992" w:type="dxa"/>
          </w:tcPr>
          <w:p w14:paraId="5E1E59A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0.80</w:t>
            </w:r>
          </w:p>
        </w:tc>
      </w:tr>
      <w:tr w:rsidR="00B20F85" w:rsidRPr="006E3E89" w14:paraId="27B6219B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69F6F0FA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>IPI (median, IQR)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18786F4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366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07511A3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3 (2-4)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4D67156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3 (2-4)</w:t>
            </w:r>
          </w:p>
        </w:tc>
        <w:tc>
          <w:tcPr>
            <w:tcW w:w="1766" w:type="dxa"/>
          </w:tcPr>
          <w:p w14:paraId="06AC17F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3 (2-4)</w:t>
            </w:r>
          </w:p>
        </w:tc>
        <w:tc>
          <w:tcPr>
            <w:tcW w:w="992" w:type="dxa"/>
          </w:tcPr>
          <w:p w14:paraId="131F02A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0.36</w:t>
            </w:r>
          </w:p>
        </w:tc>
      </w:tr>
      <w:tr w:rsidR="00B20F85" w:rsidRPr="006E3E89" w14:paraId="60EADC6C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1133F5BA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>END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11669FD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374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290DADB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265 (70.9%)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0CCE9722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160 (74.8%)</w:t>
            </w:r>
          </w:p>
        </w:tc>
        <w:tc>
          <w:tcPr>
            <w:tcW w:w="1766" w:type="dxa"/>
          </w:tcPr>
          <w:p w14:paraId="6C88AFA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105 (65.6%)</w:t>
            </w:r>
          </w:p>
        </w:tc>
        <w:tc>
          <w:tcPr>
            <w:tcW w:w="992" w:type="dxa"/>
          </w:tcPr>
          <w:p w14:paraId="52C8156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0.07</w:t>
            </w:r>
          </w:p>
        </w:tc>
      </w:tr>
      <w:tr w:rsidR="00B20F85" w:rsidRPr="006E3E89" w14:paraId="5551EA4A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2D1715AB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>History of/active CNS disease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9A7135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314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499CEE3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34 (15.9%)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246C252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13 (6.9%)</w:t>
            </w:r>
          </w:p>
        </w:tc>
        <w:tc>
          <w:tcPr>
            <w:tcW w:w="1766" w:type="dxa"/>
          </w:tcPr>
          <w:p w14:paraId="63DAFDB9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21 (16.8%)</w:t>
            </w:r>
          </w:p>
        </w:tc>
        <w:tc>
          <w:tcPr>
            <w:tcW w:w="992" w:type="dxa"/>
          </w:tcPr>
          <w:p w14:paraId="63447BE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0.009</w:t>
            </w:r>
          </w:p>
        </w:tc>
      </w:tr>
      <w:tr w:rsidR="00B20F85" w:rsidRPr="006E3E89" w14:paraId="08391C61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bottom w:val="single" w:sz="4" w:space="0" w:color="auto"/>
              <w:right w:val="nil"/>
            </w:tcBorders>
          </w:tcPr>
          <w:p w14:paraId="4295FA84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 xml:space="preserve">LDH </w:t>
            </w: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br/>
              <w:t>(U/l, median, range)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14:paraId="0EB8676F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353</w:t>
            </w:r>
          </w:p>
        </w:tc>
        <w:tc>
          <w:tcPr>
            <w:tcW w:w="1860" w:type="dxa"/>
            <w:tcBorders>
              <w:bottom w:val="single" w:sz="4" w:space="0" w:color="auto"/>
              <w:right w:val="double" w:sz="4" w:space="0" w:color="auto"/>
            </w:tcBorders>
          </w:tcPr>
          <w:p w14:paraId="5364B9C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295 (105-3,487)</w:t>
            </w:r>
          </w:p>
        </w:tc>
        <w:tc>
          <w:tcPr>
            <w:tcW w:w="1766" w:type="dxa"/>
            <w:tcBorders>
              <w:left w:val="double" w:sz="4" w:space="0" w:color="auto"/>
              <w:bottom w:val="single" w:sz="4" w:space="0" w:color="auto"/>
            </w:tcBorders>
          </w:tcPr>
          <w:p w14:paraId="5A37164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271 (118-1,645)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14:paraId="0E5F651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323 (105-3,487)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CB6B48A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0.003</w:t>
            </w:r>
          </w:p>
        </w:tc>
      </w:tr>
      <w:tr w:rsidR="00B20F85" w:rsidRPr="006E3E89" w14:paraId="0235BD9F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6"/>
            <w:tcBorders>
              <w:top w:val="single" w:sz="4" w:space="0" w:color="auto"/>
            </w:tcBorders>
          </w:tcPr>
          <w:p w14:paraId="12026DAA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b/>
                <w:bCs/>
                <w:i w:val="0"/>
                <w:iCs w:val="0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b/>
                <w:bCs/>
                <w:i w:val="0"/>
                <w:iCs w:val="0"/>
                <w:sz w:val="18"/>
                <w:szCs w:val="18"/>
                <w:lang w:val="en-US"/>
              </w:rPr>
              <w:t>Inflammation Markers at lymphodepletion</w:t>
            </w:r>
          </w:p>
        </w:tc>
      </w:tr>
      <w:tr w:rsidR="00B20F85" w:rsidRPr="006E3E89" w14:paraId="155D8C75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right w:val="nil"/>
            </w:tcBorders>
          </w:tcPr>
          <w:p w14:paraId="62B82C57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ab/>
              <w:t>CRP (mg/dl, median, range)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E89EC8F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371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1C450A7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1.1 (0.03-26.08)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1FAF028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1.27 (0.03-26.08)</w:t>
            </w:r>
          </w:p>
        </w:tc>
        <w:tc>
          <w:tcPr>
            <w:tcW w:w="1766" w:type="dxa"/>
          </w:tcPr>
          <w:p w14:paraId="180178BF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1.10 (0.04-22.50)</w:t>
            </w:r>
          </w:p>
        </w:tc>
        <w:tc>
          <w:tcPr>
            <w:tcW w:w="992" w:type="dxa"/>
          </w:tcPr>
          <w:p w14:paraId="0B82009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0.77</w:t>
            </w:r>
          </w:p>
        </w:tc>
      </w:tr>
      <w:tr w:rsidR="00B20F85" w:rsidRPr="006E3E89" w14:paraId="4BFB42C8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bottom w:val="single" w:sz="4" w:space="0" w:color="auto"/>
              <w:right w:val="nil"/>
            </w:tcBorders>
          </w:tcPr>
          <w:p w14:paraId="40E211B0" w14:textId="77777777" w:rsidR="00B20F85" w:rsidRPr="006E3E89" w:rsidRDefault="00B20F85" w:rsidP="006E3E89">
            <w:pPr>
              <w:tabs>
                <w:tab w:val="left" w:pos="175"/>
              </w:tabs>
              <w:spacing w:after="40" w:line="312" w:lineRule="auto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i w:val="0"/>
                <w:iCs w:val="0"/>
                <w:sz w:val="18"/>
                <w:szCs w:val="18"/>
                <w:lang w:val="en-US"/>
              </w:rPr>
              <w:tab/>
            </w: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Ferritin (ng/ml, median, range)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14:paraId="3BCD54B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6E3E89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332</w:t>
            </w:r>
          </w:p>
        </w:tc>
        <w:tc>
          <w:tcPr>
            <w:tcW w:w="1860" w:type="dxa"/>
            <w:tcBorders>
              <w:right w:val="double" w:sz="4" w:space="0" w:color="auto"/>
            </w:tcBorders>
          </w:tcPr>
          <w:p w14:paraId="4F37F122" w14:textId="06B7E674" w:rsidR="00B20F85" w:rsidRPr="006E3E89" w:rsidRDefault="00023171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529.5 (3-12,843)</w:t>
            </w:r>
          </w:p>
        </w:tc>
        <w:tc>
          <w:tcPr>
            <w:tcW w:w="1766" w:type="dxa"/>
            <w:tcBorders>
              <w:left w:val="double" w:sz="4" w:space="0" w:color="auto"/>
            </w:tcBorders>
          </w:tcPr>
          <w:p w14:paraId="302A7A79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423 (8-12,843)</w:t>
            </w:r>
          </w:p>
        </w:tc>
        <w:tc>
          <w:tcPr>
            <w:tcW w:w="1766" w:type="dxa"/>
          </w:tcPr>
          <w:p w14:paraId="68A9349E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sz w:val="18"/>
                <w:szCs w:val="18"/>
                <w:lang w:val="en-US"/>
              </w:rPr>
              <w:t>745 (3-6,896)</w:t>
            </w:r>
          </w:p>
        </w:tc>
        <w:tc>
          <w:tcPr>
            <w:tcW w:w="992" w:type="dxa"/>
          </w:tcPr>
          <w:p w14:paraId="3E54883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6E3E8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0.003</w:t>
            </w:r>
          </w:p>
        </w:tc>
      </w:tr>
    </w:tbl>
    <w:p w14:paraId="42167258" w14:textId="6BD8668E" w:rsidR="0032355D" w:rsidRPr="0004087D" w:rsidRDefault="006E3E89" w:rsidP="004E058C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SDC,</w:t>
      </w:r>
      <w:r w:rsidR="004E058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32355D" w:rsidRPr="0004087D">
        <w:rPr>
          <w:rFonts w:ascii="Arial" w:hAnsi="Arial" w:cs="Arial"/>
          <w:b/>
          <w:bCs/>
          <w:color w:val="000000"/>
          <w:sz w:val="22"/>
          <w:szCs w:val="22"/>
        </w:rPr>
        <w:t xml:space="preserve">Table </w:t>
      </w:r>
      <w:r w:rsidR="0073149C">
        <w:rPr>
          <w:rFonts w:ascii="Arial" w:hAnsi="Arial" w:cs="Arial"/>
          <w:b/>
          <w:bCs/>
          <w:color w:val="000000"/>
          <w:sz w:val="22"/>
          <w:szCs w:val="22"/>
        </w:rPr>
        <w:t>5</w:t>
      </w:r>
      <w:r w:rsidR="0032355D" w:rsidRPr="0004087D">
        <w:rPr>
          <w:rFonts w:ascii="Arial" w:hAnsi="Arial" w:cs="Arial"/>
          <w:b/>
          <w:bCs/>
          <w:color w:val="000000"/>
          <w:sz w:val="22"/>
          <w:szCs w:val="22"/>
        </w:rPr>
        <w:t>: Baseline demographic and clinical characteristics of CAR T-cell treated patients</w:t>
      </w:r>
      <w:r w:rsidR="004E058C">
        <w:rPr>
          <w:rFonts w:ascii="Arial" w:hAnsi="Arial" w:cs="Arial"/>
          <w:b/>
          <w:bCs/>
          <w:color w:val="000000"/>
          <w:sz w:val="22"/>
          <w:szCs w:val="22"/>
        </w:rPr>
        <w:t xml:space="preserve"> – comparison of axi-cel and tisa-cel </w:t>
      </w:r>
      <w:proofErr w:type="gramStart"/>
      <w:r w:rsidR="004E058C">
        <w:rPr>
          <w:rFonts w:ascii="Arial" w:hAnsi="Arial" w:cs="Arial"/>
          <w:b/>
          <w:bCs/>
          <w:color w:val="000000"/>
          <w:sz w:val="22"/>
          <w:szCs w:val="22"/>
        </w:rPr>
        <w:t>patients</w:t>
      </w:r>
      <w:proofErr w:type="gramEnd"/>
    </w:p>
    <w:p w14:paraId="3D3F3A43" w14:textId="07642647" w:rsidR="00B20F85" w:rsidRPr="004E058C" w:rsidRDefault="0032355D" w:rsidP="004E058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4087D">
        <w:rPr>
          <w:rFonts w:ascii="Arial" w:hAnsi="Arial" w:cs="Arial"/>
          <w:color w:val="000000"/>
          <w:sz w:val="22"/>
          <w:szCs w:val="22"/>
        </w:rPr>
        <w:t xml:space="preserve">Statistical significance (p &lt; 0.05) between US and European patients was determined by </w:t>
      </w:r>
      <w:proofErr w:type="gramStart"/>
      <w:r w:rsidRPr="0004087D">
        <w:rPr>
          <w:rFonts w:ascii="Arial" w:hAnsi="Arial" w:cs="Arial"/>
          <w:color w:val="000000"/>
          <w:sz w:val="22"/>
          <w:szCs w:val="22"/>
        </w:rPr>
        <w:t>Fisher‘</w:t>
      </w:r>
      <w:proofErr w:type="gramEnd"/>
      <w:r w:rsidRPr="0004087D">
        <w:rPr>
          <w:rFonts w:ascii="Arial" w:hAnsi="Arial" w:cs="Arial"/>
          <w:color w:val="000000"/>
          <w:sz w:val="22"/>
          <w:szCs w:val="22"/>
        </w:rPr>
        <w:t>s exact test for incidence rates and Mann-Whitney test for continuous variables. The center-specific upper limit of normal for Lactate Dehydrogenase (LDH) was 214-378 U/l, for CRP was 0.5 mg/dl, and for Ferritin was 400 ng/ml.</w:t>
      </w:r>
      <w:r w:rsidR="00B20F85">
        <w:br w:type="page"/>
      </w:r>
    </w:p>
    <w:p w14:paraId="3DAAFA4D" w14:textId="67E3375E" w:rsidR="00B20F85" w:rsidRPr="006E3E89" w:rsidRDefault="006E3E89" w:rsidP="00B20F85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lastRenderedPageBreak/>
        <w:t xml:space="preserve">SDC, </w:t>
      </w:r>
      <w:r w:rsidR="00B20F85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Table </w:t>
      </w:r>
      <w:r w:rsidR="0073149C">
        <w:rPr>
          <w:rFonts w:ascii="Arial" w:eastAsia="Times New Roman" w:hAnsi="Arial" w:cs="Arial"/>
          <w:b/>
          <w:bCs/>
          <w:color w:val="000000"/>
          <w:sz w:val="22"/>
          <w:szCs w:val="22"/>
        </w:rPr>
        <w:t>6</w:t>
      </w:r>
      <w:r w:rsidR="00B20F85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– Toxicity management</w:t>
      </w:r>
    </w:p>
    <w:p w14:paraId="635138BB" w14:textId="77777777" w:rsidR="00B20F85" w:rsidRDefault="00B20F85" w:rsidP="00B20F85">
      <w:pPr>
        <w:rPr>
          <w:rFonts w:cstheme="minorHAnsi"/>
          <w:i/>
          <w:iCs/>
          <w:sz w:val="21"/>
          <w:szCs w:val="21"/>
        </w:rPr>
      </w:pPr>
    </w:p>
    <w:tbl>
      <w:tblPr>
        <w:tblStyle w:val="Gitternetztabelle3"/>
        <w:tblW w:w="9072" w:type="dxa"/>
        <w:tblLook w:val="06A0" w:firstRow="1" w:lastRow="0" w:firstColumn="1" w:lastColumn="0" w:noHBand="1" w:noVBand="1"/>
      </w:tblPr>
      <w:tblGrid>
        <w:gridCol w:w="2286"/>
        <w:gridCol w:w="691"/>
        <w:gridCol w:w="1418"/>
        <w:gridCol w:w="1559"/>
        <w:gridCol w:w="1559"/>
        <w:gridCol w:w="1559"/>
      </w:tblGrid>
      <w:tr w:rsidR="00B20F85" w:rsidRPr="006E3E89" w14:paraId="3E3A2DC9" w14:textId="77777777" w:rsidTr="00E83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86" w:type="dxa"/>
            <w:vAlign w:val="bottom"/>
          </w:tcPr>
          <w:p w14:paraId="3DFA5931" w14:textId="77777777" w:rsidR="00B20F85" w:rsidRPr="006E3E89" w:rsidRDefault="00B20F85" w:rsidP="006E3E89">
            <w:pPr>
              <w:spacing w:after="40" w:line="312" w:lineRule="auto"/>
              <w:rPr>
                <w:rFonts w:ascii="Arial" w:hAnsi="Arial" w:cs="Arial"/>
                <w:color w:val="BFBFBF" w:themeColor="background1" w:themeShade="BF"/>
                <w:sz w:val="21"/>
                <w:szCs w:val="21"/>
              </w:rPr>
            </w:pPr>
          </w:p>
        </w:tc>
        <w:tc>
          <w:tcPr>
            <w:tcW w:w="691" w:type="dxa"/>
            <w:tcBorders>
              <w:bottom w:val="single" w:sz="4" w:space="0" w:color="666666" w:themeColor="text1" w:themeTint="99"/>
            </w:tcBorders>
          </w:tcPr>
          <w:p w14:paraId="483C7EEC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Roboto" w:hAnsi="Arial" w:cs="Arial"/>
                <w:b w:val="0"/>
                <w:bCs w:val="0"/>
                <w:color w:val="A6A6A6" w:themeColor="background1" w:themeShade="A6"/>
                <w:sz w:val="21"/>
                <w:szCs w:val="21"/>
              </w:rPr>
            </w:pPr>
          </w:p>
          <w:p w14:paraId="53DE0092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Roboto" w:hAnsi="Arial" w:cs="Arial"/>
                <w:color w:val="A6A6A6" w:themeColor="background1" w:themeShade="A6"/>
                <w:sz w:val="21"/>
                <w:szCs w:val="21"/>
              </w:rPr>
            </w:pPr>
            <w:r w:rsidRPr="006E3E89">
              <w:rPr>
                <w:rFonts w:ascii="Arial" w:eastAsia="Roboto" w:hAnsi="Arial" w:cs="Arial"/>
                <w:color w:val="A6A6A6" w:themeColor="background1" w:themeShade="A6"/>
                <w:sz w:val="21"/>
                <w:szCs w:val="21"/>
              </w:rPr>
              <w:t>n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vAlign w:val="bottom"/>
          </w:tcPr>
          <w:p w14:paraId="06C8BCE8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eastAsia="Roboto" w:hAnsi="Arial" w:cs="Arial"/>
                <w:sz w:val="21"/>
                <w:szCs w:val="21"/>
              </w:rPr>
              <w:t xml:space="preserve">All patients </w:t>
            </w:r>
          </w:p>
          <w:p w14:paraId="5E03B7EB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6E3E89">
              <w:rPr>
                <w:rFonts w:ascii="Arial" w:eastAsia="Roboto" w:hAnsi="Arial" w:cs="Arial"/>
                <w:b w:val="0"/>
                <w:bCs w:val="0"/>
                <w:sz w:val="21"/>
                <w:szCs w:val="21"/>
              </w:rPr>
              <w:t>(n=3</w:t>
            </w: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74</w:t>
            </w:r>
            <w:r w:rsidRPr="006E3E89">
              <w:rPr>
                <w:rFonts w:ascii="Arial" w:eastAsia="Roboto" w:hAnsi="Arial" w:cs="Arial"/>
                <w:b w:val="0"/>
                <w:bCs w:val="0"/>
                <w:sz w:val="21"/>
                <w:szCs w:val="21"/>
              </w:rPr>
              <w:t>)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bottom"/>
          </w:tcPr>
          <w:p w14:paraId="4FB38F95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US/Moffitt</w:t>
            </w:r>
          </w:p>
          <w:p w14:paraId="36981F78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(n=199)</w:t>
            </w:r>
          </w:p>
        </w:tc>
        <w:tc>
          <w:tcPr>
            <w:tcW w:w="1559" w:type="dxa"/>
            <w:tcBorders>
              <w:bottom w:val="single" w:sz="4" w:space="0" w:color="666666" w:themeColor="text1" w:themeTint="99"/>
            </w:tcBorders>
            <w:vAlign w:val="bottom"/>
          </w:tcPr>
          <w:p w14:paraId="04FC1E5B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Europe</w:t>
            </w:r>
          </w:p>
          <w:p w14:paraId="572541C7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(n=175)</w:t>
            </w:r>
          </w:p>
        </w:tc>
        <w:tc>
          <w:tcPr>
            <w:tcW w:w="1559" w:type="dxa"/>
            <w:tcBorders>
              <w:bottom w:val="single" w:sz="4" w:space="0" w:color="666666" w:themeColor="text1" w:themeTint="99"/>
            </w:tcBorders>
            <w:vAlign w:val="bottom"/>
          </w:tcPr>
          <w:p w14:paraId="4B595C63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 xml:space="preserve">p </w:t>
            </w:r>
          </w:p>
        </w:tc>
      </w:tr>
      <w:tr w:rsidR="00B20F85" w:rsidRPr="006E3E89" w14:paraId="26FB24DA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tcBorders>
              <w:right w:val="nil"/>
            </w:tcBorders>
          </w:tcPr>
          <w:p w14:paraId="58FB6078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color w:val="BFBFBF" w:themeColor="background1" w:themeShade="BF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Received Tocilizumab</w:t>
            </w:r>
            <w:r w:rsidRPr="006E3E89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691" w:type="dxa"/>
            <w:tcBorders>
              <w:left w:val="nil"/>
              <w:bottom w:val="nil"/>
            </w:tcBorders>
          </w:tcPr>
          <w:p w14:paraId="3EB0BD6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356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14:paraId="1D5DE74A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191 (52.3%)</w:t>
            </w:r>
          </w:p>
        </w:tc>
        <w:tc>
          <w:tcPr>
            <w:tcW w:w="1559" w:type="dxa"/>
            <w:tcBorders>
              <w:left w:val="double" w:sz="4" w:space="0" w:color="auto"/>
            </w:tcBorders>
          </w:tcPr>
          <w:p w14:paraId="367ECC7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92 (50.8%)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975B443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99 (56.6%)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391446E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0.29</w:t>
            </w:r>
          </w:p>
        </w:tc>
      </w:tr>
      <w:tr w:rsidR="00B20F85" w:rsidRPr="006E3E89" w14:paraId="19291777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tcBorders>
              <w:right w:val="nil"/>
            </w:tcBorders>
          </w:tcPr>
          <w:p w14:paraId="0BC18076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Received Steroids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</w:tcBorders>
          </w:tcPr>
          <w:p w14:paraId="1969EA5D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352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14:paraId="0F50ADCE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150 (42.6%)</w:t>
            </w:r>
          </w:p>
        </w:tc>
        <w:tc>
          <w:tcPr>
            <w:tcW w:w="1559" w:type="dxa"/>
            <w:tcBorders>
              <w:left w:val="double" w:sz="4" w:space="0" w:color="auto"/>
            </w:tcBorders>
          </w:tcPr>
          <w:p w14:paraId="25287E4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85 (48.0%)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D80ED04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65 (37.1%)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611850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0.04</w:t>
            </w:r>
          </w:p>
        </w:tc>
      </w:tr>
      <w:tr w:rsidR="00B20F85" w:rsidRPr="006E3E89" w14:paraId="1867F55D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tcBorders>
              <w:right w:val="nil"/>
            </w:tcBorders>
          </w:tcPr>
          <w:p w14:paraId="5875F371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Transferred to ICU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</w:tcBorders>
          </w:tcPr>
          <w:p w14:paraId="40090D4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356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14:paraId="364ED407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68 (19.1%)</w:t>
            </w:r>
          </w:p>
        </w:tc>
        <w:tc>
          <w:tcPr>
            <w:tcW w:w="1559" w:type="dxa"/>
            <w:tcBorders>
              <w:left w:val="double" w:sz="4" w:space="0" w:color="auto"/>
            </w:tcBorders>
          </w:tcPr>
          <w:p w14:paraId="0928E0B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32 (17.7%)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041B3F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36 (20.6%)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3A191E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0.50</w:t>
            </w:r>
          </w:p>
        </w:tc>
      </w:tr>
      <w:tr w:rsidR="00B20F85" w:rsidRPr="006E3E89" w14:paraId="36DB770D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tcBorders>
              <w:bottom w:val="single" w:sz="4" w:space="0" w:color="auto"/>
              <w:right w:val="nil"/>
            </w:tcBorders>
          </w:tcPr>
          <w:p w14:paraId="673C9E90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  <w:lang w:val="en-US"/>
              </w:rPr>
              <w:t>In patient stay from transfusion in days (median, IQR)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</w:tcBorders>
          </w:tcPr>
          <w:p w14:paraId="1B9BF9D8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color w:val="A6A6A6" w:themeColor="background1" w:themeShade="A6"/>
                <w:sz w:val="21"/>
                <w:szCs w:val="21"/>
                <w:lang w:val="en-US"/>
              </w:rPr>
              <w:t>316</w:t>
            </w: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</w:tcPr>
          <w:p w14:paraId="49CC8CCA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14 (11-19)</w:t>
            </w:r>
          </w:p>
        </w:tc>
        <w:tc>
          <w:tcPr>
            <w:tcW w:w="1559" w:type="dxa"/>
            <w:tcBorders>
              <w:left w:val="double" w:sz="4" w:space="0" w:color="auto"/>
              <w:bottom w:val="single" w:sz="4" w:space="0" w:color="auto"/>
            </w:tcBorders>
          </w:tcPr>
          <w:p w14:paraId="4741F98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13 (10-17)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90D6E5A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15 (13-22)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34F5E2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&lt;0.0001</w:t>
            </w:r>
          </w:p>
        </w:tc>
      </w:tr>
    </w:tbl>
    <w:p w14:paraId="1C72FDC0" w14:textId="77777777" w:rsidR="00B20F85" w:rsidRDefault="00B20F85" w:rsidP="00B20F85">
      <w:pPr>
        <w:rPr>
          <w:rFonts w:cstheme="minorHAnsi"/>
          <w:i/>
          <w:iCs/>
          <w:sz w:val="21"/>
          <w:szCs w:val="21"/>
        </w:rPr>
      </w:pPr>
    </w:p>
    <w:tbl>
      <w:tblPr>
        <w:tblStyle w:val="Gitternetztabelle3"/>
        <w:tblW w:w="9072" w:type="dxa"/>
        <w:tblInd w:w="-5" w:type="dxa"/>
        <w:tblLook w:val="06A0" w:firstRow="1" w:lastRow="0" w:firstColumn="1" w:lastColumn="0" w:noHBand="1" w:noVBand="1"/>
      </w:tblPr>
      <w:tblGrid>
        <w:gridCol w:w="2286"/>
        <w:gridCol w:w="691"/>
        <w:gridCol w:w="1418"/>
        <w:gridCol w:w="1559"/>
        <w:gridCol w:w="1559"/>
        <w:gridCol w:w="1559"/>
      </w:tblGrid>
      <w:tr w:rsidR="00B20F85" w:rsidRPr="006E3E89" w14:paraId="268923E2" w14:textId="77777777" w:rsidTr="00E83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86" w:type="dxa"/>
            <w:vAlign w:val="bottom"/>
          </w:tcPr>
          <w:p w14:paraId="027D61EE" w14:textId="77777777" w:rsidR="00B20F85" w:rsidRPr="006E3E89" w:rsidRDefault="00B20F85" w:rsidP="006E3E89">
            <w:pPr>
              <w:spacing w:after="40" w:line="312" w:lineRule="auto"/>
              <w:rPr>
                <w:rFonts w:ascii="Arial" w:hAnsi="Arial" w:cs="Arial"/>
                <w:color w:val="BFBFBF" w:themeColor="background1" w:themeShade="BF"/>
                <w:sz w:val="21"/>
                <w:szCs w:val="21"/>
                <w:lang w:val="en-US"/>
              </w:rPr>
            </w:pPr>
          </w:p>
        </w:tc>
        <w:tc>
          <w:tcPr>
            <w:tcW w:w="691" w:type="dxa"/>
            <w:tcBorders>
              <w:bottom w:val="single" w:sz="4" w:space="0" w:color="666666" w:themeColor="text1" w:themeTint="99"/>
            </w:tcBorders>
          </w:tcPr>
          <w:p w14:paraId="1F229D43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Roboto" w:hAnsi="Arial" w:cs="Arial"/>
                <w:b w:val="0"/>
                <w:bCs w:val="0"/>
                <w:color w:val="A6A6A6" w:themeColor="background1" w:themeShade="A6"/>
                <w:sz w:val="21"/>
                <w:szCs w:val="21"/>
                <w:lang w:val="en-US"/>
              </w:rPr>
            </w:pPr>
          </w:p>
          <w:p w14:paraId="0DF7D6DB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Roboto" w:hAnsi="Arial" w:cs="Arial"/>
                <w:color w:val="A6A6A6" w:themeColor="background1" w:themeShade="A6"/>
                <w:sz w:val="21"/>
                <w:szCs w:val="21"/>
              </w:rPr>
            </w:pPr>
            <w:r w:rsidRPr="006E3E89">
              <w:rPr>
                <w:rFonts w:ascii="Arial" w:eastAsia="Roboto" w:hAnsi="Arial" w:cs="Arial"/>
                <w:color w:val="A6A6A6" w:themeColor="background1" w:themeShade="A6"/>
                <w:sz w:val="21"/>
                <w:szCs w:val="21"/>
              </w:rPr>
              <w:t>n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vAlign w:val="bottom"/>
          </w:tcPr>
          <w:p w14:paraId="77FA4CEC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eastAsia="Roboto" w:hAnsi="Arial" w:cs="Arial"/>
                <w:sz w:val="21"/>
                <w:szCs w:val="21"/>
              </w:rPr>
              <w:t xml:space="preserve">All patients </w:t>
            </w:r>
          </w:p>
          <w:p w14:paraId="5865F0DF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6E3E89">
              <w:rPr>
                <w:rFonts w:ascii="Arial" w:eastAsia="Roboto" w:hAnsi="Arial" w:cs="Arial"/>
                <w:b w:val="0"/>
                <w:bCs w:val="0"/>
                <w:sz w:val="21"/>
                <w:szCs w:val="21"/>
              </w:rPr>
              <w:t>(n=3</w:t>
            </w: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74</w:t>
            </w:r>
            <w:r w:rsidRPr="006E3E89">
              <w:rPr>
                <w:rFonts w:ascii="Arial" w:eastAsia="Roboto" w:hAnsi="Arial" w:cs="Arial"/>
                <w:b w:val="0"/>
                <w:bCs w:val="0"/>
                <w:sz w:val="21"/>
                <w:szCs w:val="21"/>
              </w:rPr>
              <w:t>)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bottom"/>
          </w:tcPr>
          <w:p w14:paraId="59D66DA8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Axi-cel</w:t>
            </w:r>
          </w:p>
          <w:p w14:paraId="1239AD49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(n=214)</w:t>
            </w:r>
          </w:p>
        </w:tc>
        <w:tc>
          <w:tcPr>
            <w:tcW w:w="1559" w:type="dxa"/>
            <w:tcBorders>
              <w:bottom w:val="single" w:sz="4" w:space="0" w:color="666666" w:themeColor="text1" w:themeTint="99"/>
            </w:tcBorders>
            <w:vAlign w:val="bottom"/>
          </w:tcPr>
          <w:p w14:paraId="49B98889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Tisa-cel</w:t>
            </w:r>
          </w:p>
          <w:p w14:paraId="6DB7C064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(n=160)</w:t>
            </w:r>
          </w:p>
        </w:tc>
        <w:tc>
          <w:tcPr>
            <w:tcW w:w="1559" w:type="dxa"/>
            <w:tcBorders>
              <w:bottom w:val="single" w:sz="4" w:space="0" w:color="666666" w:themeColor="text1" w:themeTint="99"/>
            </w:tcBorders>
            <w:vAlign w:val="bottom"/>
          </w:tcPr>
          <w:p w14:paraId="3D5CA740" w14:textId="77777777" w:rsidR="00B20F85" w:rsidRPr="006E3E89" w:rsidRDefault="00B20F85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p</w:t>
            </w:r>
          </w:p>
        </w:tc>
      </w:tr>
      <w:tr w:rsidR="00B20F85" w:rsidRPr="006E3E89" w14:paraId="1259ABAB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tcBorders>
              <w:right w:val="nil"/>
            </w:tcBorders>
          </w:tcPr>
          <w:p w14:paraId="76326293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color w:val="BFBFBF" w:themeColor="background1" w:themeShade="BF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Received Tocilizumab</w:t>
            </w:r>
            <w:r w:rsidRPr="006E3E89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691" w:type="dxa"/>
            <w:tcBorders>
              <w:left w:val="nil"/>
              <w:bottom w:val="nil"/>
            </w:tcBorders>
          </w:tcPr>
          <w:p w14:paraId="05FC9A9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356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14:paraId="46C2553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191 (52.3%)</w:t>
            </w:r>
          </w:p>
        </w:tc>
        <w:tc>
          <w:tcPr>
            <w:tcW w:w="1559" w:type="dxa"/>
            <w:tcBorders>
              <w:left w:val="double" w:sz="4" w:space="0" w:color="auto"/>
            </w:tcBorders>
          </w:tcPr>
          <w:p w14:paraId="284BDCB9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111 (56.1%)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15F727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80 (50.6%)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5B6D6C2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0.33</w:t>
            </w:r>
          </w:p>
        </w:tc>
      </w:tr>
      <w:tr w:rsidR="00B20F85" w:rsidRPr="006E3E89" w14:paraId="7EDB254B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tcBorders>
              <w:right w:val="nil"/>
            </w:tcBorders>
          </w:tcPr>
          <w:p w14:paraId="151B803D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Received Steroids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</w:tcBorders>
          </w:tcPr>
          <w:p w14:paraId="5B1351B7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352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14:paraId="0F32C41B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150 (42.6%)</w:t>
            </w:r>
          </w:p>
        </w:tc>
        <w:tc>
          <w:tcPr>
            <w:tcW w:w="1559" w:type="dxa"/>
            <w:tcBorders>
              <w:left w:val="double" w:sz="4" w:space="0" w:color="auto"/>
            </w:tcBorders>
          </w:tcPr>
          <w:p w14:paraId="299A057E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102 (52.0%)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4D189C5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48 (30.8%)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59EF99F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&lt;0.0001</w:t>
            </w:r>
          </w:p>
        </w:tc>
      </w:tr>
      <w:tr w:rsidR="00B20F85" w:rsidRPr="006E3E89" w14:paraId="77986115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tcBorders>
              <w:right w:val="nil"/>
            </w:tcBorders>
          </w:tcPr>
          <w:p w14:paraId="3832BAF6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i w:val="0"/>
                <w:iCs w:val="0"/>
                <w:sz w:val="21"/>
                <w:szCs w:val="21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</w:rPr>
              <w:t>Transferred to ICU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</w:tcBorders>
          </w:tcPr>
          <w:p w14:paraId="0D3B4E01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A6A6A6" w:themeColor="background1" w:themeShade="A6"/>
                <w:sz w:val="21"/>
                <w:szCs w:val="21"/>
              </w:rPr>
              <w:t>356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14:paraId="372C3FA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68 (19.1%)</w:t>
            </w:r>
          </w:p>
        </w:tc>
        <w:tc>
          <w:tcPr>
            <w:tcW w:w="1559" w:type="dxa"/>
            <w:tcBorders>
              <w:left w:val="double" w:sz="4" w:space="0" w:color="auto"/>
            </w:tcBorders>
          </w:tcPr>
          <w:p w14:paraId="3792A17E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38 (19.2%)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F4A1E9E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30 (19.0%)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9853D96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0.99</w:t>
            </w:r>
          </w:p>
        </w:tc>
      </w:tr>
      <w:tr w:rsidR="00B20F85" w:rsidRPr="006E3E89" w14:paraId="3DF04B47" w14:textId="77777777" w:rsidTr="00E83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tcBorders>
              <w:bottom w:val="single" w:sz="4" w:space="0" w:color="auto"/>
              <w:right w:val="nil"/>
            </w:tcBorders>
          </w:tcPr>
          <w:p w14:paraId="2BD1484F" w14:textId="77777777" w:rsidR="00B20F85" w:rsidRPr="006E3E89" w:rsidRDefault="00B20F85" w:rsidP="006E3E89">
            <w:pPr>
              <w:spacing w:after="40" w:line="312" w:lineRule="auto"/>
              <w:jc w:val="left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i w:val="0"/>
                <w:iCs w:val="0"/>
                <w:sz w:val="21"/>
                <w:szCs w:val="21"/>
                <w:lang w:val="en-US"/>
              </w:rPr>
              <w:t>In patient stay from transfusion in days (median, IQR)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</w:tcBorders>
          </w:tcPr>
          <w:p w14:paraId="16CFC4E9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6A6A6" w:themeColor="background1" w:themeShade="A6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color w:val="A6A6A6" w:themeColor="background1" w:themeShade="A6"/>
                <w:sz w:val="21"/>
                <w:szCs w:val="21"/>
                <w:lang w:val="en-US"/>
              </w:rPr>
              <w:t>316</w:t>
            </w: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</w:tcPr>
          <w:p w14:paraId="3BC1D9B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14 (11-19)</w:t>
            </w:r>
          </w:p>
        </w:tc>
        <w:tc>
          <w:tcPr>
            <w:tcW w:w="1559" w:type="dxa"/>
            <w:tcBorders>
              <w:left w:val="double" w:sz="4" w:space="0" w:color="auto"/>
              <w:bottom w:val="single" w:sz="4" w:space="0" w:color="auto"/>
            </w:tcBorders>
          </w:tcPr>
          <w:p w14:paraId="16C913E0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14 (11-20)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B0C312C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14 (11-17)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DC732AF" w14:textId="77777777" w:rsidR="00B20F85" w:rsidRPr="006E3E89" w:rsidRDefault="00B20F85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0.35</w:t>
            </w:r>
          </w:p>
        </w:tc>
      </w:tr>
    </w:tbl>
    <w:p w14:paraId="07BE028F" w14:textId="77777777" w:rsidR="004E058C" w:rsidRDefault="004E058C" w:rsidP="004E058C">
      <w:pPr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</w:p>
    <w:p w14:paraId="3972114B" w14:textId="12CFECA4" w:rsidR="004E058C" w:rsidRDefault="006E3E89" w:rsidP="004E058C">
      <w:pPr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SDC,</w:t>
      </w:r>
      <w:r w:rsidR="004E058C" w:rsidRPr="0032355D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Table </w:t>
      </w:r>
      <w:r w:rsidR="0073149C">
        <w:rPr>
          <w:rFonts w:ascii="Arial" w:eastAsia="Times New Roman" w:hAnsi="Arial" w:cs="Arial"/>
          <w:b/>
          <w:bCs/>
          <w:color w:val="000000"/>
          <w:sz w:val="22"/>
          <w:szCs w:val="22"/>
        </w:rPr>
        <w:t>6</w:t>
      </w:r>
      <w:r w:rsidR="004E058C" w:rsidRPr="0032355D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: </w:t>
      </w:r>
      <w:r w:rsidR="004E058C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Toxicity management  </w:t>
      </w:r>
    </w:p>
    <w:p w14:paraId="680E364C" w14:textId="59F36F47" w:rsidR="004E058C" w:rsidRPr="0032355D" w:rsidRDefault="004E058C" w:rsidP="004E058C">
      <w:pPr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04087D">
        <w:rPr>
          <w:rFonts w:ascii="Arial" w:hAnsi="Arial" w:cs="Arial"/>
          <w:color w:val="000000"/>
          <w:sz w:val="22"/>
          <w:szCs w:val="22"/>
        </w:rPr>
        <w:t>Statistical significance (p &lt; 0.05) between US and European patients</w:t>
      </w:r>
      <w:r w:rsidR="00891875">
        <w:rPr>
          <w:rFonts w:ascii="Arial" w:hAnsi="Arial" w:cs="Arial"/>
          <w:color w:val="000000"/>
          <w:sz w:val="22"/>
          <w:szCs w:val="22"/>
        </w:rPr>
        <w:t>, and for Axi-cel and Tisa-cel patients, respectively,</w:t>
      </w:r>
      <w:r w:rsidRPr="0004087D">
        <w:rPr>
          <w:rFonts w:ascii="Arial" w:hAnsi="Arial" w:cs="Arial"/>
          <w:color w:val="000000"/>
          <w:sz w:val="22"/>
          <w:szCs w:val="22"/>
        </w:rPr>
        <w:t xml:space="preserve"> was determined by </w:t>
      </w:r>
      <w:proofErr w:type="gramStart"/>
      <w:r w:rsidRPr="0004087D">
        <w:rPr>
          <w:rFonts w:ascii="Arial" w:hAnsi="Arial" w:cs="Arial"/>
          <w:color w:val="000000"/>
          <w:sz w:val="22"/>
          <w:szCs w:val="22"/>
        </w:rPr>
        <w:t>Fisher‘</w:t>
      </w:r>
      <w:proofErr w:type="gramEnd"/>
      <w:r w:rsidRPr="0004087D">
        <w:rPr>
          <w:rFonts w:ascii="Arial" w:hAnsi="Arial" w:cs="Arial"/>
          <w:color w:val="000000"/>
          <w:sz w:val="22"/>
          <w:szCs w:val="22"/>
        </w:rPr>
        <w:t>s exact test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51F8E1AB" w14:textId="53F646B2" w:rsidR="006A4360" w:rsidRPr="004E058C" w:rsidRDefault="006A4360" w:rsidP="006A4360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A02F1E2" w14:textId="4E062F10" w:rsidR="006A4360" w:rsidRPr="004E058C" w:rsidRDefault="006A4360" w:rsidP="006A4360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E4848FC" w14:textId="6636C0E4" w:rsidR="006A4360" w:rsidRPr="004E058C" w:rsidRDefault="006A4360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4E058C">
        <w:rPr>
          <w:rFonts w:ascii="Arial" w:hAnsi="Arial" w:cs="Arial"/>
          <w:b/>
          <w:bCs/>
          <w:i/>
          <w:iCs/>
          <w:sz w:val="22"/>
          <w:szCs w:val="22"/>
        </w:rPr>
        <w:br w:type="page"/>
      </w:r>
    </w:p>
    <w:p w14:paraId="5D92E436" w14:textId="4DB5FABC" w:rsidR="006A4360" w:rsidRPr="006E3E89" w:rsidRDefault="006E3E89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lastRenderedPageBreak/>
        <w:t>SDC,</w:t>
      </w:r>
      <w:r w:rsidR="006A4360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Table </w:t>
      </w:r>
      <w:r w:rsidR="0073149C">
        <w:rPr>
          <w:rFonts w:ascii="Arial" w:eastAsia="Times New Roman" w:hAnsi="Arial" w:cs="Arial"/>
          <w:b/>
          <w:bCs/>
          <w:color w:val="000000"/>
          <w:sz w:val="22"/>
          <w:szCs w:val="22"/>
        </w:rPr>
        <w:t>7</w:t>
      </w:r>
      <w:r w:rsidR="006A4360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– Factors </w:t>
      </w:r>
      <w:r w:rsidR="006A4360" w:rsidRPr="006E3E89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</w:rPr>
        <w:t>available prior to indication for CAR T-cell therapy</w:t>
      </w:r>
      <w:r w:rsidR="006A4360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associated with PFS in univariate and multivariate </w:t>
      </w:r>
      <w:proofErr w:type="gramStart"/>
      <w:r w:rsidR="006A4360"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>analysis</w:t>
      </w:r>
      <w:proofErr w:type="gramEnd"/>
    </w:p>
    <w:p w14:paraId="15A45A1C" w14:textId="77777777" w:rsidR="006A4360" w:rsidRPr="006A4360" w:rsidRDefault="006A4360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tbl>
      <w:tblPr>
        <w:tblStyle w:val="Gitternetztabelle3"/>
        <w:tblW w:w="8217" w:type="dxa"/>
        <w:tblInd w:w="5" w:type="dxa"/>
        <w:tblLook w:val="06A0" w:firstRow="1" w:lastRow="0" w:firstColumn="1" w:lastColumn="0" w:noHBand="1" w:noVBand="1"/>
      </w:tblPr>
      <w:tblGrid>
        <w:gridCol w:w="2263"/>
        <w:gridCol w:w="709"/>
        <w:gridCol w:w="1843"/>
        <w:gridCol w:w="1276"/>
        <w:gridCol w:w="2126"/>
        <w:tblGridChange w:id="0">
          <w:tblGrid>
            <w:gridCol w:w="2263"/>
            <w:gridCol w:w="709"/>
            <w:gridCol w:w="1843"/>
            <w:gridCol w:w="1276"/>
            <w:gridCol w:w="2126"/>
          </w:tblGrid>
        </w:tblGridChange>
      </w:tblGrid>
      <w:tr w:rsidR="000877D6" w:rsidRPr="006E3E89" w14:paraId="5D6E7DA1" w14:textId="77777777" w:rsidTr="001B0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14:paraId="7859E6B4" w14:textId="77777777" w:rsidR="000877D6" w:rsidRPr="006E3E89" w:rsidRDefault="000877D6" w:rsidP="006E3E89">
            <w:pPr>
              <w:spacing w:after="40" w:line="312" w:lineRule="auto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Variable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14:paraId="2BF47370" w14:textId="77777777" w:rsidR="000877D6" w:rsidRPr="006E3E89" w:rsidRDefault="000877D6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  <w:t>n</w:t>
            </w:r>
          </w:p>
        </w:tc>
        <w:tc>
          <w:tcPr>
            <w:tcW w:w="1843" w:type="dxa"/>
          </w:tcPr>
          <w:p w14:paraId="5BFD66D4" w14:textId="77777777" w:rsidR="000877D6" w:rsidRPr="006E3E89" w:rsidRDefault="000877D6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 xml:space="preserve">univariate </w:t>
            </w:r>
            <w:r w:rsidRPr="006E3E89">
              <w:rPr>
                <w:rFonts w:ascii="Arial" w:hAnsi="Arial" w:cs="Arial"/>
                <w:sz w:val="21"/>
                <w:szCs w:val="21"/>
              </w:rPr>
              <w:br/>
              <w:t>HR (95%CI)</w:t>
            </w:r>
          </w:p>
        </w:tc>
        <w:tc>
          <w:tcPr>
            <w:tcW w:w="1276" w:type="dxa"/>
          </w:tcPr>
          <w:p w14:paraId="235EB65F" w14:textId="77777777" w:rsidR="000877D6" w:rsidRPr="006E3E89" w:rsidRDefault="000877D6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p</w:t>
            </w:r>
          </w:p>
        </w:tc>
        <w:tc>
          <w:tcPr>
            <w:tcW w:w="2126" w:type="dxa"/>
          </w:tcPr>
          <w:p w14:paraId="03872ECF" w14:textId="5960F01D" w:rsidR="000877D6" w:rsidRPr="006E3E89" w:rsidRDefault="00B06777" w:rsidP="006E3E89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PRE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 xml:space="preserve"> balancer</w:t>
            </w: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r w:rsidR="000877D6" w:rsidRPr="006E3E89">
              <w:rPr>
                <w:rFonts w:ascii="Arial" w:hAnsi="Arial" w:cs="Arial"/>
                <w:sz w:val="21"/>
                <w:szCs w:val="21"/>
                <w:lang w:val="en-US"/>
              </w:rPr>
              <w:t xml:space="preserve">coefficients </w:t>
            </w:r>
            <w:r w:rsidR="000877D6" w:rsidRPr="006E3E89">
              <w:rPr>
                <w:rFonts w:ascii="Arial" w:hAnsi="Arial" w:cs="Arial"/>
                <w:sz w:val="21"/>
                <w:szCs w:val="21"/>
                <w:lang w:val="en-US"/>
              </w:rPr>
              <w:br/>
              <w:t>(Lasso model)</w:t>
            </w:r>
          </w:p>
        </w:tc>
      </w:tr>
      <w:tr w:rsidR="000877D6" w:rsidRPr="006E3E89" w14:paraId="37E8C96E" w14:textId="77777777" w:rsidTr="001B0C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nil"/>
            </w:tcBorders>
          </w:tcPr>
          <w:p w14:paraId="183DAA09" w14:textId="77777777" w:rsidR="000877D6" w:rsidRPr="006E3E89" w:rsidRDefault="000877D6" w:rsidP="006E3E89">
            <w:pPr>
              <w:spacing w:after="40" w:line="312" w:lineRule="auto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Ferritin (fold change ULN, log2)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10B0D6FE" w14:textId="77777777" w:rsidR="000877D6" w:rsidRPr="006E3E89" w:rsidRDefault="000877D6" w:rsidP="006E3E89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  <w:t>332</w:t>
            </w:r>
          </w:p>
        </w:tc>
        <w:tc>
          <w:tcPr>
            <w:tcW w:w="1843" w:type="dxa"/>
          </w:tcPr>
          <w:p w14:paraId="6B3478D5" w14:textId="77777777" w:rsidR="000877D6" w:rsidRPr="006E3E89" w:rsidRDefault="000877D6" w:rsidP="006E3E89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000000"/>
                <w:sz w:val="21"/>
                <w:szCs w:val="21"/>
              </w:rPr>
              <w:t>1.2 (1.1-1.4)</w:t>
            </w:r>
          </w:p>
        </w:tc>
        <w:tc>
          <w:tcPr>
            <w:tcW w:w="1276" w:type="dxa"/>
          </w:tcPr>
          <w:p w14:paraId="570C63CF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2126" w:type="dxa"/>
          </w:tcPr>
          <w:p w14:paraId="115DF3B7" w14:textId="3AFB51A2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0.13</w:t>
            </w:r>
          </w:p>
        </w:tc>
      </w:tr>
      <w:tr w:rsidR="000877D6" w:rsidRPr="006E3E89" w14:paraId="19B18EC7" w14:textId="77777777" w:rsidTr="001B0C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nil"/>
            </w:tcBorders>
          </w:tcPr>
          <w:p w14:paraId="360F8447" w14:textId="77777777" w:rsidR="000877D6" w:rsidRPr="006E3E89" w:rsidRDefault="000877D6" w:rsidP="006E3E89">
            <w:pPr>
              <w:spacing w:after="40" w:line="312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CRP (fold change ULN, log2)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0C526A98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  <w:t>371</w:t>
            </w:r>
          </w:p>
        </w:tc>
        <w:tc>
          <w:tcPr>
            <w:tcW w:w="1843" w:type="dxa"/>
          </w:tcPr>
          <w:p w14:paraId="50CFF1AE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1.1 (1.1-1.2)</w:t>
            </w:r>
          </w:p>
        </w:tc>
        <w:tc>
          <w:tcPr>
            <w:tcW w:w="1276" w:type="dxa"/>
          </w:tcPr>
          <w:p w14:paraId="54777D59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2126" w:type="dxa"/>
          </w:tcPr>
          <w:p w14:paraId="071090B5" w14:textId="44FEFFE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0.03</w:t>
            </w:r>
          </w:p>
        </w:tc>
      </w:tr>
      <w:tr w:rsidR="000877D6" w:rsidRPr="006E3E89" w14:paraId="4065B09A" w14:textId="77777777" w:rsidTr="001B0C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nil"/>
            </w:tcBorders>
          </w:tcPr>
          <w:p w14:paraId="4BBF328C" w14:textId="77777777" w:rsidR="000877D6" w:rsidRPr="006E3E89" w:rsidRDefault="000877D6" w:rsidP="006E3E89">
            <w:pPr>
              <w:spacing w:after="40" w:line="312" w:lineRule="auto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ECOG (0-1 vs. 2-4)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0102FEED" w14:textId="77777777" w:rsidR="000877D6" w:rsidRPr="006E3E89" w:rsidRDefault="000877D6" w:rsidP="006E3E89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  <w:t>374</w:t>
            </w:r>
          </w:p>
        </w:tc>
        <w:tc>
          <w:tcPr>
            <w:tcW w:w="1843" w:type="dxa"/>
          </w:tcPr>
          <w:p w14:paraId="6AFA8A4F" w14:textId="77777777" w:rsidR="000877D6" w:rsidRPr="006E3E89" w:rsidRDefault="000877D6" w:rsidP="006E3E89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1.9 (1.3-2.6)</w:t>
            </w:r>
          </w:p>
        </w:tc>
        <w:tc>
          <w:tcPr>
            <w:tcW w:w="1276" w:type="dxa"/>
          </w:tcPr>
          <w:p w14:paraId="2898EC17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0.0002</w:t>
            </w:r>
          </w:p>
        </w:tc>
        <w:tc>
          <w:tcPr>
            <w:tcW w:w="2126" w:type="dxa"/>
          </w:tcPr>
          <w:p w14:paraId="0DA6093F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-</w:t>
            </w:r>
          </w:p>
        </w:tc>
      </w:tr>
      <w:tr w:rsidR="000877D6" w:rsidRPr="006E3E89" w14:paraId="12B2C2E3" w14:textId="77777777" w:rsidTr="001B0C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nil"/>
            </w:tcBorders>
          </w:tcPr>
          <w:p w14:paraId="0BBAF4EA" w14:textId="77777777" w:rsidR="000877D6" w:rsidRPr="006E3E89" w:rsidRDefault="000877D6" w:rsidP="006E3E89">
            <w:pPr>
              <w:spacing w:after="40" w:line="312" w:lineRule="auto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Presence of END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1E52639E" w14:textId="77777777" w:rsidR="000877D6" w:rsidRPr="006E3E89" w:rsidRDefault="000877D6" w:rsidP="006E3E89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  <w:t>374</w:t>
            </w:r>
          </w:p>
        </w:tc>
        <w:tc>
          <w:tcPr>
            <w:tcW w:w="1843" w:type="dxa"/>
          </w:tcPr>
          <w:p w14:paraId="59C45720" w14:textId="77777777" w:rsidR="000877D6" w:rsidRPr="006E3E89" w:rsidRDefault="000877D6" w:rsidP="006E3E89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000000"/>
                <w:sz w:val="21"/>
                <w:szCs w:val="21"/>
              </w:rPr>
              <w:t>1.6 (1.1-2.1)</w:t>
            </w:r>
          </w:p>
        </w:tc>
        <w:tc>
          <w:tcPr>
            <w:tcW w:w="1276" w:type="dxa"/>
          </w:tcPr>
          <w:p w14:paraId="5C4F3F57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0.005</w:t>
            </w:r>
          </w:p>
        </w:tc>
        <w:tc>
          <w:tcPr>
            <w:tcW w:w="2126" w:type="dxa"/>
          </w:tcPr>
          <w:p w14:paraId="673DC8D7" w14:textId="61C78F3B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0.04</w:t>
            </w:r>
          </w:p>
        </w:tc>
      </w:tr>
      <w:tr w:rsidR="000877D6" w:rsidRPr="006E3E89" w14:paraId="6CC8B7FE" w14:textId="77777777" w:rsidTr="001B0C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nil"/>
            </w:tcBorders>
          </w:tcPr>
          <w:p w14:paraId="58D948B2" w14:textId="77777777" w:rsidR="000877D6" w:rsidRPr="006E3E89" w:rsidRDefault="000877D6" w:rsidP="006E3E89">
            <w:pPr>
              <w:spacing w:after="40" w:line="312" w:lineRule="auto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LDH (</w:t>
            </w: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fold change ULN, log2</w:t>
            </w:r>
            <w:r w:rsidRPr="006E3E89">
              <w:rPr>
                <w:rFonts w:ascii="Arial" w:hAnsi="Arial" w:cs="Arial"/>
                <w:sz w:val="21"/>
                <w:szCs w:val="21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22C6C223" w14:textId="77777777" w:rsidR="000877D6" w:rsidRPr="006E3E89" w:rsidRDefault="000877D6" w:rsidP="006E3E89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  <w:t>353</w:t>
            </w:r>
          </w:p>
        </w:tc>
        <w:tc>
          <w:tcPr>
            <w:tcW w:w="1843" w:type="dxa"/>
          </w:tcPr>
          <w:p w14:paraId="3E127AA7" w14:textId="77777777" w:rsidR="000877D6" w:rsidRPr="006E3E89" w:rsidRDefault="000877D6" w:rsidP="006E3E89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1.3 (1.1-1.5)</w:t>
            </w:r>
          </w:p>
        </w:tc>
        <w:tc>
          <w:tcPr>
            <w:tcW w:w="1276" w:type="dxa"/>
          </w:tcPr>
          <w:p w14:paraId="65F82C83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0.006</w:t>
            </w:r>
          </w:p>
        </w:tc>
        <w:tc>
          <w:tcPr>
            <w:tcW w:w="2126" w:type="dxa"/>
          </w:tcPr>
          <w:p w14:paraId="7CD0813E" w14:textId="084D5CB3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0.09</w:t>
            </w:r>
          </w:p>
        </w:tc>
      </w:tr>
      <w:tr w:rsidR="000877D6" w:rsidRPr="006E3E89" w14:paraId="53DD5EFE" w14:textId="77777777" w:rsidTr="001B0C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nil"/>
            </w:tcBorders>
          </w:tcPr>
          <w:p w14:paraId="5921CF5A" w14:textId="77777777" w:rsidR="000877D6" w:rsidRPr="006E3E89" w:rsidRDefault="000877D6" w:rsidP="006E3E89">
            <w:pPr>
              <w:spacing w:after="40" w:line="312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Ann Arbor Stage (III/IV vs. I/II)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011C99A6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color w:val="808080" w:themeColor="background1" w:themeShade="80"/>
                <w:sz w:val="21"/>
                <w:szCs w:val="21"/>
                <w:lang w:val="en-US"/>
              </w:rPr>
              <w:t>374</w:t>
            </w:r>
          </w:p>
        </w:tc>
        <w:tc>
          <w:tcPr>
            <w:tcW w:w="1843" w:type="dxa"/>
          </w:tcPr>
          <w:p w14:paraId="413F22A3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1.5 (1.1-2.1)</w:t>
            </w:r>
          </w:p>
        </w:tc>
        <w:tc>
          <w:tcPr>
            <w:tcW w:w="1276" w:type="dxa"/>
          </w:tcPr>
          <w:p w14:paraId="2E209CEF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0.020</w:t>
            </w:r>
          </w:p>
        </w:tc>
        <w:tc>
          <w:tcPr>
            <w:tcW w:w="2126" w:type="dxa"/>
          </w:tcPr>
          <w:p w14:paraId="34315A56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-</w:t>
            </w:r>
          </w:p>
        </w:tc>
      </w:tr>
      <w:tr w:rsidR="000877D6" w:rsidRPr="006E3E89" w14:paraId="68D7092E" w14:textId="77777777" w:rsidTr="001B0C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nil"/>
            </w:tcBorders>
          </w:tcPr>
          <w:p w14:paraId="6E9216DA" w14:textId="77777777" w:rsidR="000877D6" w:rsidRPr="006E3E89" w:rsidRDefault="000877D6" w:rsidP="006E3E89">
            <w:pPr>
              <w:spacing w:after="40" w:line="312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Response to previous therapy (refractory vs. relapsed)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7583AE91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color w:val="808080" w:themeColor="background1" w:themeShade="80"/>
                <w:sz w:val="21"/>
                <w:szCs w:val="21"/>
                <w:lang w:val="en-US"/>
              </w:rPr>
              <w:t>371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7CCD6CD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1.4 (1.0-1.9)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859667D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E3E89">
              <w:rPr>
                <w:rFonts w:ascii="Arial" w:hAnsi="Arial" w:cs="Arial"/>
                <w:b/>
                <w:bCs/>
                <w:sz w:val="21"/>
                <w:szCs w:val="21"/>
              </w:rPr>
              <w:t>0.039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8BDB874" w14:textId="77777777" w:rsidR="000877D6" w:rsidRPr="006E3E89" w:rsidRDefault="000877D6" w:rsidP="006E3E89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-</w:t>
            </w:r>
          </w:p>
        </w:tc>
      </w:tr>
      <w:tr w:rsidR="001B0C6A" w:rsidRPr="006E3E89" w14:paraId="4FB93F3A" w14:textId="77777777" w:rsidTr="001B0C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nil"/>
            </w:tcBorders>
          </w:tcPr>
          <w:p w14:paraId="21E41856" w14:textId="48AC6022" w:rsidR="000877D6" w:rsidRPr="001B0C6A" w:rsidRDefault="000877D6" w:rsidP="000877D6">
            <w:pPr>
              <w:spacing w:after="40" w:line="312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1B0C6A">
              <w:rPr>
                <w:rFonts w:ascii="Arial" w:hAnsi="Arial" w:cs="Arial"/>
                <w:sz w:val="18"/>
                <w:szCs w:val="18"/>
                <w:lang w:val="en-US"/>
              </w:rPr>
              <w:t xml:space="preserve">Diagnosis (LBCL vs. </w:t>
            </w:r>
            <w:r w:rsidRPr="001B0C6A">
              <w:rPr>
                <w:rFonts w:ascii="Arial" w:hAnsi="Arial" w:cs="Arial"/>
                <w:sz w:val="18"/>
                <w:szCs w:val="18"/>
                <w:lang w:val="en-US"/>
              </w:rPr>
              <w:br/>
              <w:t>transformed LBCL)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468667D2" w14:textId="29A68C60" w:rsidR="000877D6" w:rsidRPr="001B0C6A" w:rsidRDefault="001B0C6A" w:rsidP="000877D6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808080" w:themeColor="background1" w:themeShade="80"/>
                <w:sz w:val="21"/>
                <w:szCs w:val="21"/>
                <w:lang w:val="en-US"/>
              </w:rPr>
              <w:t>374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D49AF31" w14:textId="17F0DA96" w:rsidR="000877D6" w:rsidRPr="006E3E89" w:rsidRDefault="000877D6" w:rsidP="000877D6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>1.4 (0.99-1.9)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ED2C4B6" w14:textId="0DFE64FE" w:rsidR="000877D6" w:rsidRPr="006E3E89" w:rsidRDefault="000877D6" w:rsidP="000877D6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>0.060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6D1791E" w14:textId="73751619" w:rsidR="000877D6" w:rsidRPr="006E3E89" w:rsidRDefault="000877D6" w:rsidP="000877D6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B0C6A" w:rsidRPr="006E3E89" w14:paraId="23601578" w14:textId="77777777" w:rsidTr="001B0C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nil"/>
            </w:tcBorders>
          </w:tcPr>
          <w:p w14:paraId="1C88153C" w14:textId="77777777" w:rsidR="000877D6" w:rsidRPr="006E3E89" w:rsidRDefault="000877D6" w:rsidP="000877D6">
            <w:pPr>
              <w:spacing w:after="40" w:line="312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Bulky Disease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A36B60" w14:textId="77777777" w:rsidR="000877D6" w:rsidRPr="006E3E89" w:rsidRDefault="000877D6" w:rsidP="000877D6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</w:pPr>
            <w:r w:rsidRPr="006E3E89">
              <w:rPr>
                <w:rFonts w:ascii="Arial" w:hAnsi="Arial" w:cs="Arial"/>
                <w:color w:val="808080" w:themeColor="background1" w:themeShade="80"/>
                <w:sz w:val="21"/>
                <w:szCs w:val="21"/>
              </w:rPr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0DC7" w14:textId="77777777" w:rsidR="000877D6" w:rsidRPr="006E3E89" w:rsidRDefault="000877D6" w:rsidP="000877D6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1.4 (0.96-2.1)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6535" w14:textId="77777777" w:rsidR="000877D6" w:rsidRPr="006E3E89" w:rsidRDefault="000877D6" w:rsidP="000877D6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6E3E89">
              <w:rPr>
                <w:rFonts w:ascii="Arial" w:hAnsi="Arial" w:cs="Arial"/>
                <w:sz w:val="21"/>
                <w:szCs w:val="21"/>
              </w:rPr>
              <w:t>0.082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7AE5" w14:textId="77777777" w:rsidR="000877D6" w:rsidRPr="006E3E89" w:rsidRDefault="000877D6" w:rsidP="000877D6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E3E89"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</w:tbl>
    <w:p w14:paraId="1DC0611A" w14:textId="3C18ADF2" w:rsidR="006A4360" w:rsidRDefault="006A4360" w:rsidP="006A4360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E0C76F2" w14:textId="76E85F00" w:rsidR="00891875" w:rsidRPr="0004087D" w:rsidRDefault="006E3E89" w:rsidP="00891875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SDC,</w:t>
      </w:r>
      <w:r w:rsidR="00891875" w:rsidRPr="0032355D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Table </w:t>
      </w:r>
      <w:r w:rsidR="0073149C">
        <w:rPr>
          <w:rFonts w:ascii="Arial" w:eastAsia="Times New Roman" w:hAnsi="Arial" w:cs="Arial"/>
          <w:b/>
          <w:bCs/>
          <w:color w:val="000000"/>
          <w:sz w:val="22"/>
          <w:szCs w:val="22"/>
        </w:rPr>
        <w:t>7</w:t>
      </w:r>
      <w:r w:rsidR="00891875" w:rsidRPr="0004087D">
        <w:rPr>
          <w:rFonts w:ascii="Arial" w:hAnsi="Arial" w:cs="Arial"/>
          <w:b/>
          <w:bCs/>
          <w:color w:val="000000"/>
          <w:sz w:val="22"/>
          <w:szCs w:val="22"/>
        </w:rPr>
        <w:t>: Association of patient characteristics</w:t>
      </w:r>
      <w:r w:rsidR="0089187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89187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available at indication</w:t>
      </w:r>
      <w:r w:rsidR="00891875" w:rsidRPr="0004087D">
        <w:rPr>
          <w:rFonts w:ascii="Arial" w:hAnsi="Arial" w:cs="Arial"/>
          <w:b/>
          <w:bCs/>
          <w:color w:val="000000"/>
          <w:sz w:val="22"/>
          <w:szCs w:val="22"/>
        </w:rPr>
        <w:t xml:space="preserve"> with progression-free survival in uni- and multivariate analysis</w:t>
      </w:r>
    </w:p>
    <w:p w14:paraId="7F3BEA5E" w14:textId="19A60FBB" w:rsidR="00891875" w:rsidRPr="0004087D" w:rsidRDefault="00891875" w:rsidP="0089187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4087D">
        <w:rPr>
          <w:rFonts w:ascii="Arial" w:hAnsi="Arial" w:cs="Arial"/>
          <w:color w:val="000000"/>
          <w:sz w:val="22"/>
          <w:szCs w:val="22"/>
        </w:rPr>
        <w:t>A Lasso penalized regression model was used.</w:t>
      </w:r>
    </w:p>
    <w:p w14:paraId="19D5E705" w14:textId="332506CB" w:rsidR="006D5BC3" w:rsidRDefault="006D5BC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5918D746" w14:textId="1F82DA3D" w:rsidR="00AE26A5" w:rsidRPr="006E3E89" w:rsidRDefault="00AE26A5" w:rsidP="00AE26A5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lastRenderedPageBreak/>
        <w:t xml:space="preserve">SDC, Table </w:t>
      </w:r>
      <w:r w:rsidR="0073149C">
        <w:rPr>
          <w:rFonts w:ascii="Arial" w:eastAsia="Times New Roman" w:hAnsi="Arial" w:cs="Arial"/>
          <w:b/>
          <w:bCs/>
          <w:color w:val="000000"/>
          <w:sz w:val="22"/>
          <w:szCs w:val="22"/>
        </w:rPr>
        <w:t>8</w:t>
      </w:r>
      <w:r w:rsidRPr="006E3E8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– Factors associated with PFS in multivariate analysis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, including interactions</w:t>
      </w:r>
    </w:p>
    <w:p w14:paraId="29076F46" w14:textId="77777777" w:rsidR="00AE26A5" w:rsidRDefault="00AE26A5" w:rsidP="00AE26A5"/>
    <w:tbl>
      <w:tblPr>
        <w:tblStyle w:val="Gitternetztabelle3"/>
        <w:tblW w:w="5670" w:type="dxa"/>
        <w:tblInd w:w="-5" w:type="dxa"/>
        <w:tblLayout w:type="fixed"/>
        <w:tblLook w:val="06A0" w:firstRow="1" w:lastRow="0" w:firstColumn="1" w:lastColumn="0" w:noHBand="1" w:noVBand="1"/>
      </w:tblPr>
      <w:tblGrid>
        <w:gridCol w:w="3402"/>
        <w:gridCol w:w="2268"/>
      </w:tblGrid>
      <w:tr w:rsidR="00AE26A5" w:rsidRPr="00D32D10" w14:paraId="5B8AD6D6" w14:textId="77777777" w:rsidTr="001E3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02" w:type="dxa"/>
          </w:tcPr>
          <w:p w14:paraId="1D4497EA" w14:textId="77777777" w:rsidR="00AE26A5" w:rsidRPr="00D32D10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Variable</w:t>
            </w:r>
          </w:p>
        </w:tc>
        <w:tc>
          <w:tcPr>
            <w:tcW w:w="2268" w:type="dxa"/>
          </w:tcPr>
          <w:p w14:paraId="6B84AA6C" w14:textId="77777777" w:rsidR="00AE26A5" w:rsidRPr="006D5BC3" w:rsidRDefault="00AE26A5" w:rsidP="001E3220">
            <w:pPr>
              <w:spacing w:after="4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 xml:space="preserve">HR_interaction coefficients </w:t>
            </w: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br/>
              <w:t>(Lasso model)</w:t>
            </w:r>
          </w:p>
        </w:tc>
      </w:tr>
      <w:tr w:rsidR="00AE26A5" w:rsidRPr="00D32D10" w14:paraId="59003AF4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7860B544" w14:textId="77777777" w:rsidR="00AE26A5" w:rsidRPr="006D5BC3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Response to bridging</w:t>
            </w: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br/>
              <w:t xml:space="preserve">(SD/PD vs. CR/PR </w:t>
            </w:r>
            <w:r w:rsidRPr="006D5BC3"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  <w:t>or</w:t>
            </w: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 xml:space="preserve"> no bridging)</w:t>
            </w:r>
          </w:p>
        </w:tc>
        <w:tc>
          <w:tcPr>
            <w:tcW w:w="2268" w:type="dxa"/>
          </w:tcPr>
          <w:p w14:paraId="3116F6A1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32D10">
              <w:rPr>
                <w:rFonts w:ascii="Arial" w:hAnsi="Arial" w:cs="Arial"/>
                <w:b/>
                <w:bCs/>
                <w:sz w:val="18"/>
                <w:szCs w:val="18"/>
              </w:rPr>
              <w:t>0.3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D32D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D32D10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(Non-response)</w:t>
            </w:r>
          </w:p>
        </w:tc>
      </w:tr>
      <w:tr w:rsidR="00AE26A5" w:rsidRPr="00D32D10" w14:paraId="0891C5D6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78E292E1" w14:textId="77777777" w:rsidR="00AE26A5" w:rsidRPr="00D32D10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Ferritin (fold change ULN, log2)</w:t>
            </w:r>
          </w:p>
        </w:tc>
        <w:tc>
          <w:tcPr>
            <w:tcW w:w="2268" w:type="dxa"/>
          </w:tcPr>
          <w:p w14:paraId="2729C5B0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32D10">
              <w:rPr>
                <w:rFonts w:ascii="Arial" w:hAnsi="Arial" w:cs="Arial"/>
                <w:b/>
                <w:bCs/>
                <w:sz w:val="18"/>
                <w:szCs w:val="18"/>
              </w:rPr>
              <w:t>0.1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</w:tr>
      <w:tr w:rsidR="00AE26A5" w:rsidRPr="00D32D10" w14:paraId="03C9FC1C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5B5F4E80" w14:textId="77777777" w:rsidR="00AE26A5" w:rsidRPr="006D5BC3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CART Product (Tisa vs. Axi)</w:t>
            </w:r>
          </w:p>
        </w:tc>
        <w:tc>
          <w:tcPr>
            <w:tcW w:w="2268" w:type="dxa"/>
          </w:tcPr>
          <w:p w14:paraId="72536155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0.04 (Tisa-cel)</w:t>
            </w:r>
          </w:p>
        </w:tc>
      </w:tr>
      <w:tr w:rsidR="00AE26A5" w:rsidRPr="00D32D10" w14:paraId="0567CF6C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76D965F5" w14:textId="77777777" w:rsidR="00AE26A5" w:rsidRPr="006D5BC3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CRP (fold change ULN, log2)</w:t>
            </w:r>
          </w:p>
        </w:tc>
        <w:tc>
          <w:tcPr>
            <w:tcW w:w="2268" w:type="dxa"/>
          </w:tcPr>
          <w:p w14:paraId="0D295328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32D10">
              <w:rPr>
                <w:rFonts w:ascii="Arial" w:hAnsi="Arial" w:cs="Arial"/>
                <w:b/>
                <w:bCs/>
                <w:sz w:val="18"/>
                <w:szCs w:val="18"/>
              </w:rPr>
              <w:t>0.0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</w:tr>
      <w:tr w:rsidR="00AE26A5" w:rsidRPr="00D32D10" w14:paraId="613BEEC2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7A8D03F3" w14:textId="77777777" w:rsidR="00AE26A5" w:rsidRPr="00D32D10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ECOG (0-1 vs. 2-4)</w:t>
            </w:r>
          </w:p>
        </w:tc>
        <w:tc>
          <w:tcPr>
            <w:tcW w:w="2268" w:type="dxa"/>
          </w:tcPr>
          <w:p w14:paraId="0EDD7771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E26A5" w:rsidRPr="00D32D10" w14:paraId="2936F9C9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534377F8" w14:textId="77777777" w:rsidR="00AE26A5" w:rsidRPr="006D5BC3" w:rsidRDefault="00AE26A5" w:rsidP="001E3220">
            <w:pPr>
              <w:spacing w:after="40" w:line="312" w:lineRule="auto"/>
              <w:rPr>
                <w:rFonts w:ascii="Arial" w:hAnsi="Arial" w:cs="Arial"/>
                <w:i w:val="0"/>
                <w:iCs w:val="0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 xml:space="preserve">Interval Apheresis-CART </w:t>
            </w:r>
          </w:p>
          <w:p w14:paraId="5E5E49B9" w14:textId="77777777" w:rsidR="00AE26A5" w:rsidRPr="006D5BC3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gramStart"/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months</w:t>
            </w:r>
            <w:proofErr w:type="gramEnd"/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, log2)</w:t>
            </w:r>
          </w:p>
        </w:tc>
        <w:tc>
          <w:tcPr>
            <w:tcW w:w="2268" w:type="dxa"/>
          </w:tcPr>
          <w:p w14:paraId="623F15DF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E26A5" w:rsidRPr="00D32D10" w14:paraId="1FCB5ECC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3D194B78" w14:textId="77777777" w:rsidR="00AE26A5" w:rsidRPr="00D32D10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Presence of END</w:t>
            </w:r>
          </w:p>
        </w:tc>
        <w:tc>
          <w:tcPr>
            <w:tcW w:w="2268" w:type="dxa"/>
          </w:tcPr>
          <w:p w14:paraId="0E70FDF5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E26A5" w:rsidRPr="00D32D10" w14:paraId="52C2439F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580073D3" w14:textId="77777777" w:rsidR="00AE26A5" w:rsidRPr="006D5BC3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 xml:space="preserve">Interval Indication-CART </w:t>
            </w: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br/>
              <w:t>(months, log2)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4685CF1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E26A5" w:rsidRPr="00D32D10" w14:paraId="76A67694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01A8FBD7" w14:textId="77777777" w:rsidR="00AE26A5" w:rsidRPr="00D32D10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LDH (fold change ULN, log2)</w:t>
            </w:r>
          </w:p>
        </w:tc>
        <w:tc>
          <w:tcPr>
            <w:tcW w:w="2268" w:type="dxa"/>
          </w:tcPr>
          <w:p w14:paraId="4AD208BF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E26A5" w:rsidRPr="00D32D10" w14:paraId="123B04DF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6B200659" w14:textId="77777777" w:rsidR="00AE26A5" w:rsidRPr="006D5BC3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Prior therapy lines (incl. H&amp;B, log2)</w:t>
            </w:r>
          </w:p>
        </w:tc>
        <w:tc>
          <w:tcPr>
            <w:tcW w:w="2268" w:type="dxa"/>
          </w:tcPr>
          <w:p w14:paraId="46A06477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E26A5" w:rsidRPr="00D32D10" w14:paraId="7AB7DFE4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7D36981B" w14:textId="77777777" w:rsidR="00AE26A5" w:rsidRPr="006D5BC3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Ann Arbor Stage (III/IV vs. I/II)</w:t>
            </w:r>
          </w:p>
        </w:tc>
        <w:tc>
          <w:tcPr>
            <w:tcW w:w="2268" w:type="dxa"/>
          </w:tcPr>
          <w:p w14:paraId="32762D62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E26A5" w:rsidRPr="00D32D10" w14:paraId="63AD48FC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7B151F1E" w14:textId="77777777" w:rsidR="00AE26A5" w:rsidRPr="006D5BC3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Response to previous therapy (refractory vs. relapsed)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457B450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E26A5" w:rsidRPr="00D32D10" w14:paraId="594A2A1F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09D5E95B" w14:textId="77777777" w:rsidR="00AE26A5" w:rsidRPr="00D32D10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Bulky Disease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FA8F" w14:textId="77777777" w:rsidR="00AE26A5" w:rsidRPr="00D32D10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2D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E26A5" w:rsidRPr="00D32D10" w14:paraId="6F8642A3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0D3ECFF1" w14:textId="77777777" w:rsidR="00AE26A5" w:rsidRPr="006D5BC3" w:rsidRDefault="00AE26A5" w:rsidP="001E3220">
            <w:pPr>
              <w:spacing w:after="4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  <w:t>Interaction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: </w:t>
            </w: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CART Product*Re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ponse to B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ridging </w:t>
            </w: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 xml:space="preserve">(SD/PD vs.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br/>
            </w: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 xml:space="preserve">CR/PR </w:t>
            </w:r>
            <w:r w:rsidRPr="006D5BC3"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  <w:t>or</w:t>
            </w: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 xml:space="preserve"> no bridging)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FA83" w14:textId="77777777" w:rsidR="00AE26A5" w:rsidRPr="006D5BC3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</w:tr>
      <w:tr w:rsidR="00AE26A5" w:rsidRPr="00D32D10" w14:paraId="0F0D514B" w14:textId="77777777" w:rsidTr="001E3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nil"/>
            </w:tcBorders>
          </w:tcPr>
          <w:p w14:paraId="0CB75942" w14:textId="77777777" w:rsidR="00AE26A5" w:rsidRPr="006D5BC3" w:rsidRDefault="00AE26A5" w:rsidP="001E3220">
            <w:pPr>
              <w:spacing w:after="40" w:line="312" w:lineRule="auto"/>
              <w:rPr>
                <w:rFonts w:ascii="Arial" w:hAnsi="Arial" w:cs="Arial"/>
                <w:i w:val="0"/>
                <w:iCs w:val="0"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  <w:t>Interaction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: </w:t>
            </w: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CART Product*Interval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6D5BC3">
              <w:rPr>
                <w:rFonts w:ascii="Arial" w:hAnsi="Arial" w:cs="Arial"/>
                <w:sz w:val="18"/>
                <w:szCs w:val="18"/>
                <w:lang w:val="en-US"/>
              </w:rPr>
              <w:t>Apheresis-CART (months, log2)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FE22" w14:textId="77777777" w:rsidR="00AE26A5" w:rsidRPr="006D5BC3" w:rsidRDefault="00AE26A5" w:rsidP="001E3220">
            <w:pPr>
              <w:spacing w:after="4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6D5BC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0.09</w:t>
            </w:r>
          </w:p>
        </w:tc>
      </w:tr>
    </w:tbl>
    <w:p w14:paraId="0CF4764D" w14:textId="679C1032" w:rsidR="00AE26A5" w:rsidRDefault="00AE26A5" w:rsidP="00AE26A5">
      <w:pPr>
        <w:rPr>
          <w:rFonts w:ascii="Arial" w:hAnsi="Arial" w:cs="Arial"/>
          <w:b/>
          <w:bCs/>
          <w:sz w:val="22"/>
          <w:szCs w:val="22"/>
        </w:rPr>
      </w:pPr>
    </w:p>
    <w:p w14:paraId="6FB80471" w14:textId="6C9B5CA7" w:rsidR="00035FBB" w:rsidRPr="0004087D" w:rsidRDefault="00035FBB" w:rsidP="00035FBB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SDC,</w:t>
      </w:r>
      <w:r w:rsidRPr="0032355D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Table </w:t>
      </w:r>
      <w:r w:rsidR="0073149C">
        <w:rPr>
          <w:rFonts w:ascii="Arial" w:eastAsia="Times New Roman" w:hAnsi="Arial" w:cs="Arial"/>
          <w:b/>
          <w:bCs/>
          <w:color w:val="000000"/>
          <w:sz w:val="22"/>
          <w:szCs w:val="22"/>
        </w:rPr>
        <w:t>8</w:t>
      </w:r>
      <w:r w:rsidRPr="0004087D">
        <w:rPr>
          <w:rFonts w:ascii="Arial" w:hAnsi="Arial" w:cs="Arial"/>
          <w:b/>
          <w:bCs/>
          <w:color w:val="000000"/>
          <w:sz w:val="22"/>
          <w:szCs w:val="22"/>
        </w:rPr>
        <w:t>: Association of patient characteristics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04087D">
        <w:rPr>
          <w:rFonts w:ascii="Arial" w:hAnsi="Arial" w:cs="Arial"/>
          <w:b/>
          <w:bCs/>
          <w:color w:val="000000"/>
          <w:sz w:val="22"/>
          <w:szCs w:val="22"/>
        </w:rPr>
        <w:t>with progression-free survival in multivariate analysis</w:t>
      </w:r>
      <w:r w:rsidRPr="00035FBB">
        <w:rPr>
          <w:rFonts w:ascii="Arial" w:hAnsi="Arial" w:cs="Arial"/>
          <w:b/>
          <w:bCs/>
          <w:color w:val="000000"/>
          <w:sz w:val="22"/>
          <w:szCs w:val="22"/>
        </w:rPr>
        <w:t>, including interactions</w:t>
      </w:r>
    </w:p>
    <w:p w14:paraId="692646F2" w14:textId="595C41CB" w:rsidR="00035FBB" w:rsidRDefault="00035FBB" w:rsidP="00035FBB">
      <w:pPr>
        <w:rPr>
          <w:rFonts w:ascii="Arial" w:hAnsi="Arial" w:cs="Arial"/>
          <w:b/>
          <w:bCs/>
          <w:sz w:val="22"/>
          <w:szCs w:val="22"/>
        </w:rPr>
      </w:pPr>
      <w:r w:rsidRPr="0004087D">
        <w:rPr>
          <w:rFonts w:ascii="Arial" w:hAnsi="Arial" w:cs="Arial"/>
          <w:color w:val="000000"/>
          <w:sz w:val="22"/>
          <w:szCs w:val="22"/>
        </w:rPr>
        <w:t>A Lasso penalized regression model was used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4A71075" w14:textId="251B7995" w:rsidR="00C511F8" w:rsidRPr="00891875" w:rsidRDefault="00C511F8" w:rsidP="0073149C">
      <w:pPr>
        <w:rPr>
          <w:rFonts w:ascii="Arial" w:hAnsi="Arial" w:cs="Arial"/>
          <w:b/>
          <w:bCs/>
          <w:sz w:val="22"/>
          <w:szCs w:val="22"/>
        </w:rPr>
      </w:pPr>
    </w:p>
    <w:sectPr w:rsidR="00C511F8" w:rsidRPr="00891875" w:rsidSect="004E058C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06EC0"/>
    <w:multiLevelType w:val="hybridMultilevel"/>
    <w:tmpl w:val="0A2EE6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352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5a50t2wnfavd4ep5p55drrsw0dataxestdr&quot;&gt;HT and Infection&lt;record-ids&gt;&lt;item&gt;2&lt;/item&gt;&lt;/record-ids&gt;&lt;/item&gt;&lt;/Libraries&gt;"/>
  </w:docVars>
  <w:rsids>
    <w:rsidRoot w:val="00AF2F1C"/>
    <w:rsid w:val="000041AB"/>
    <w:rsid w:val="0001378F"/>
    <w:rsid w:val="00017663"/>
    <w:rsid w:val="00023171"/>
    <w:rsid w:val="00026648"/>
    <w:rsid w:val="00035FBB"/>
    <w:rsid w:val="0004208B"/>
    <w:rsid w:val="00051956"/>
    <w:rsid w:val="00064ECC"/>
    <w:rsid w:val="000877D6"/>
    <w:rsid w:val="000A023A"/>
    <w:rsid w:val="000A0AED"/>
    <w:rsid w:val="000A5415"/>
    <w:rsid w:val="000B5CC9"/>
    <w:rsid w:val="000C39EB"/>
    <w:rsid w:val="000C3C43"/>
    <w:rsid w:val="000C66A8"/>
    <w:rsid w:val="000D0EBE"/>
    <w:rsid w:val="000D5CDA"/>
    <w:rsid w:val="000D6425"/>
    <w:rsid w:val="000E776D"/>
    <w:rsid w:val="001074AE"/>
    <w:rsid w:val="00112BAF"/>
    <w:rsid w:val="0011343B"/>
    <w:rsid w:val="00115736"/>
    <w:rsid w:val="00120841"/>
    <w:rsid w:val="00133F33"/>
    <w:rsid w:val="00137CA3"/>
    <w:rsid w:val="00143B9A"/>
    <w:rsid w:val="00175CE9"/>
    <w:rsid w:val="001808E5"/>
    <w:rsid w:val="001A4E2A"/>
    <w:rsid w:val="001A74C6"/>
    <w:rsid w:val="001B0C6A"/>
    <w:rsid w:val="001C29B6"/>
    <w:rsid w:val="001C6EC3"/>
    <w:rsid w:val="002056B1"/>
    <w:rsid w:val="00207DFA"/>
    <w:rsid w:val="0022491F"/>
    <w:rsid w:val="00232243"/>
    <w:rsid w:val="00240EF4"/>
    <w:rsid w:val="0024736A"/>
    <w:rsid w:val="00252113"/>
    <w:rsid w:val="00252A1B"/>
    <w:rsid w:val="00253BCF"/>
    <w:rsid w:val="00261806"/>
    <w:rsid w:val="0026364C"/>
    <w:rsid w:val="00275F60"/>
    <w:rsid w:val="00285EE7"/>
    <w:rsid w:val="002A63C4"/>
    <w:rsid w:val="002B2D8D"/>
    <w:rsid w:val="002B384E"/>
    <w:rsid w:val="002C5C74"/>
    <w:rsid w:val="002C6205"/>
    <w:rsid w:val="002E69C6"/>
    <w:rsid w:val="002E7CB7"/>
    <w:rsid w:val="00305AF9"/>
    <w:rsid w:val="00306F1E"/>
    <w:rsid w:val="00314906"/>
    <w:rsid w:val="0032355D"/>
    <w:rsid w:val="003320BC"/>
    <w:rsid w:val="00335575"/>
    <w:rsid w:val="00346D07"/>
    <w:rsid w:val="0036296D"/>
    <w:rsid w:val="003803C5"/>
    <w:rsid w:val="003921C5"/>
    <w:rsid w:val="00394ACA"/>
    <w:rsid w:val="003B1A76"/>
    <w:rsid w:val="003B723B"/>
    <w:rsid w:val="003C0CD2"/>
    <w:rsid w:val="003C12C3"/>
    <w:rsid w:val="003D560A"/>
    <w:rsid w:val="00424A1F"/>
    <w:rsid w:val="00430F20"/>
    <w:rsid w:val="0043698E"/>
    <w:rsid w:val="00437C71"/>
    <w:rsid w:val="00440675"/>
    <w:rsid w:val="00443D21"/>
    <w:rsid w:val="004478E1"/>
    <w:rsid w:val="004545F4"/>
    <w:rsid w:val="00455857"/>
    <w:rsid w:val="004562EB"/>
    <w:rsid w:val="00472920"/>
    <w:rsid w:val="00472C3C"/>
    <w:rsid w:val="0048057C"/>
    <w:rsid w:val="004826F6"/>
    <w:rsid w:val="00487204"/>
    <w:rsid w:val="0048769A"/>
    <w:rsid w:val="00497AEA"/>
    <w:rsid w:val="004A4B15"/>
    <w:rsid w:val="004A4F31"/>
    <w:rsid w:val="004A7D8B"/>
    <w:rsid w:val="004B43E1"/>
    <w:rsid w:val="004C13F3"/>
    <w:rsid w:val="004C60FB"/>
    <w:rsid w:val="004E058C"/>
    <w:rsid w:val="004E3E23"/>
    <w:rsid w:val="004F31F1"/>
    <w:rsid w:val="004F7FA2"/>
    <w:rsid w:val="00502FEA"/>
    <w:rsid w:val="00506BF2"/>
    <w:rsid w:val="00526811"/>
    <w:rsid w:val="00540943"/>
    <w:rsid w:val="0055047B"/>
    <w:rsid w:val="00556A7C"/>
    <w:rsid w:val="005613D8"/>
    <w:rsid w:val="00570594"/>
    <w:rsid w:val="00582505"/>
    <w:rsid w:val="00591ECF"/>
    <w:rsid w:val="005940E4"/>
    <w:rsid w:val="00595FE6"/>
    <w:rsid w:val="005A19EF"/>
    <w:rsid w:val="005C5E80"/>
    <w:rsid w:val="005C61A1"/>
    <w:rsid w:val="005D1ECF"/>
    <w:rsid w:val="005D4DBC"/>
    <w:rsid w:val="005E4CD1"/>
    <w:rsid w:val="005E73C1"/>
    <w:rsid w:val="006176BF"/>
    <w:rsid w:val="00623F73"/>
    <w:rsid w:val="00627F28"/>
    <w:rsid w:val="006408F2"/>
    <w:rsid w:val="006420D1"/>
    <w:rsid w:val="006449BC"/>
    <w:rsid w:val="00647A4A"/>
    <w:rsid w:val="0065350B"/>
    <w:rsid w:val="006536F8"/>
    <w:rsid w:val="00667D87"/>
    <w:rsid w:val="00676E9E"/>
    <w:rsid w:val="00681C69"/>
    <w:rsid w:val="0068747B"/>
    <w:rsid w:val="006A4360"/>
    <w:rsid w:val="006A69CF"/>
    <w:rsid w:val="006B4457"/>
    <w:rsid w:val="006D309D"/>
    <w:rsid w:val="006D5BC3"/>
    <w:rsid w:val="006D754C"/>
    <w:rsid w:val="006E3E89"/>
    <w:rsid w:val="006E7A31"/>
    <w:rsid w:val="006F4B1A"/>
    <w:rsid w:val="007039A5"/>
    <w:rsid w:val="007045A6"/>
    <w:rsid w:val="00705CD4"/>
    <w:rsid w:val="00706144"/>
    <w:rsid w:val="00717BE5"/>
    <w:rsid w:val="00727284"/>
    <w:rsid w:val="00727A0C"/>
    <w:rsid w:val="0073149C"/>
    <w:rsid w:val="0073723A"/>
    <w:rsid w:val="0074519C"/>
    <w:rsid w:val="007923FC"/>
    <w:rsid w:val="007A33FE"/>
    <w:rsid w:val="007A3576"/>
    <w:rsid w:val="007A5A5C"/>
    <w:rsid w:val="007B1CFA"/>
    <w:rsid w:val="007C219F"/>
    <w:rsid w:val="007C5321"/>
    <w:rsid w:val="007D4BA2"/>
    <w:rsid w:val="00832DFE"/>
    <w:rsid w:val="00843025"/>
    <w:rsid w:val="00845958"/>
    <w:rsid w:val="00856F27"/>
    <w:rsid w:val="00862893"/>
    <w:rsid w:val="00863977"/>
    <w:rsid w:val="00884B94"/>
    <w:rsid w:val="00885CF9"/>
    <w:rsid w:val="00887796"/>
    <w:rsid w:val="00891875"/>
    <w:rsid w:val="00893CF6"/>
    <w:rsid w:val="008A4D93"/>
    <w:rsid w:val="008B2DD0"/>
    <w:rsid w:val="008B7118"/>
    <w:rsid w:val="008D550E"/>
    <w:rsid w:val="008D721D"/>
    <w:rsid w:val="008E116C"/>
    <w:rsid w:val="008E31F6"/>
    <w:rsid w:val="008F27A6"/>
    <w:rsid w:val="008F7E37"/>
    <w:rsid w:val="00906D96"/>
    <w:rsid w:val="00907F56"/>
    <w:rsid w:val="00915AD4"/>
    <w:rsid w:val="00923714"/>
    <w:rsid w:val="009474DC"/>
    <w:rsid w:val="009621BC"/>
    <w:rsid w:val="00975730"/>
    <w:rsid w:val="0099293A"/>
    <w:rsid w:val="00992A38"/>
    <w:rsid w:val="0099343D"/>
    <w:rsid w:val="009955D7"/>
    <w:rsid w:val="00995D31"/>
    <w:rsid w:val="009B1107"/>
    <w:rsid w:val="009D5A28"/>
    <w:rsid w:val="009E52A2"/>
    <w:rsid w:val="009F2845"/>
    <w:rsid w:val="009F618F"/>
    <w:rsid w:val="00A230B5"/>
    <w:rsid w:val="00A24F5B"/>
    <w:rsid w:val="00A2716C"/>
    <w:rsid w:val="00A2733F"/>
    <w:rsid w:val="00A427E9"/>
    <w:rsid w:val="00A43F63"/>
    <w:rsid w:val="00A45176"/>
    <w:rsid w:val="00A83856"/>
    <w:rsid w:val="00A913B0"/>
    <w:rsid w:val="00AB1067"/>
    <w:rsid w:val="00AC3014"/>
    <w:rsid w:val="00AC48B6"/>
    <w:rsid w:val="00AD4B67"/>
    <w:rsid w:val="00AE26A5"/>
    <w:rsid w:val="00AF2F1C"/>
    <w:rsid w:val="00B06777"/>
    <w:rsid w:val="00B11BA4"/>
    <w:rsid w:val="00B15613"/>
    <w:rsid w:val="00B20F85"/>
    <w:rsid w:val="00B32B2C"/>
    <w:rsid w:val="00B63D09"/>
    <w:rsid w:val="00B84AD1"/>
    <w:rsid w:val="00B95897"/>
    <w:rsid w:val="00BA2733"/>
    <w:rsid w:val="00BC69BC"/>
    <w:rsid w:val="00BD369A"/>
    <w:rsid w:val="00BD6453"/>
    <w:rsid w:val="00BF4A2B"/>
    <w:rsid w:val="00BF7334"/>
    <w:rsid w:val="00C000D8"/>
    <w:rsid w:val="00C00757"/>
    <w:rsid w:val="00C07AB1"/>
    <w:rsid w:val="00C15799"/>
    <w:rsid w:val="00C169A1"/>
    <w:rsid w:val="00C16CE6"/>
    <w:rsid w:val="00C3581E"/>
    <w:rsid w:val="00C44DDB"/>
    <w:rsid w:val="00C50D51"/>
    <w:rsid w:val="00C511F8"/>
    <w:rsid w:val="00C60C8C"/>
    <w:rsid w:val="00C7478B"/>
    <w:rsid w:val="00C81375"/>
    <w:rsid w:val="00C905EE"/>
    <w:rsid w:val="00C90D5A"/>
    <w:rsid w:val="00C93038"/>
    <w:rsid w:val="00CA150E"/>
    <w:rsid w:val="00CB0BCC"/>
    <w:rsid w:val="00CC18AB"/>
    <w:rsid w:val="00CD1FF5"/>
    <w:rsid w:val="00CD5B77"/>
    <w:rsid w:val="00CE4E9C"/>
    <w:rsid w:val="00CF3EA9"/>
    <w:rsid w:val="00CF5B88"/>
    <w:rsid w:val="00D041D2"/>
    <w:rsid w:val="00D06543"/>
    <w:rsid w:val="00D2739F"/>
    <w:rsid w:val="00D306B6"/>
    <w:rsid w:val="00D41012"/>
    <w:rsid w:val="00D4173E"/>
    <w:rsid w:val="00D5691E"/>
    <w:rsid w:val="00D62CC0"/>
    <w:rsid w:val="00D66213"/>
    <w:rsid w:val="00D92FC1"/>
    <w:rsid w:val="00D94A2C"/>
    <w:rsid w:val="00DB5835"/>
    <w:rsid w:val="00DB6B97"/>
    <w:rsid w:val="00DB7ABF"/>
    <w:rsid w:val="00DC3072"/>
    <w:rsid w:val="00DD372D"/>
    <w:rsid w:val="00E02463"/>
    <w:rsid w:val="00E02A26"/>
    <w:rsid w:val="00E313BB"/>
    <w:rsid w:val="00E32F5D"/>
    <w:rsid w:val="00E566AA"/>
    <w:rsid w:val="00E572A2"/>
    <w:rsid w:val="00E63D0D"/>
    <w:rsid w:val="00E73686"/>
    <w:rsid w:val="00E868B5"/>
    <w:rsid w:val="00EA3593"/>
    <w:rsid w:val="00EB1F3B"/>
    <w:rsid w:val="00EC5815"/>
    <w:rsid w:val="00ED2F37"/>
    <w:rsid w:val="00ED65A3"/>
    <w:rsid w:val="00EE3785"/>
    <w:rsid w:val="00EF7305"/>
    <w:rsid w:val="00F247D1"/>
    <w:rsid w:val="00F36B58"/>
    <w:rsid w:val="00F453C2"/>
    <w:rsid w:val="00F53B29"/>
    <w:rsid w:val="00F555D7"/>
    <w:rsid w:val="00F635A3"/>
    <w:rsid w:val="00F66CC9"/>
    <w:rsid w:val="00F80609"/>
    <w:rsid w:val="00F95976"/>
    <w:rsid w:val="00FA0A8B"/>
    <w:rsid w:val="00FA156B"/>
    <w:rsid w:val="00FA2D06"/>
    <w:rsid w:val="00FA5475"/>
    <w:rsid w:val="00FB254C"/>
    <w:rsid w:val="00FC516D"/>
    <w:rsid w:val="00FC5B36"/>
    <w:rsid w:val="00FC6D60"/>
    <w:rsid w:val="00FD08CC"/>
    <w:rsid w:val="00FD5276"/>
    <w:rsid w:val="00FE2510"/>
    <w:rsid w:val="00FE6AFE"/>
    <w:rsid w:val="00FF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60CCB"/>
  <w15:chartTrackingRefBased/>
  <w15:docId w15:val="{30864AA4-6B52-BA4B-BE9E-60E793C49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31F6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31F6"/>
    <w:rPr>
      <w:rFonts w:ascii="Times New Roman" w:hAnsi="Times New Roman" w:cs="Times New Roman"/>
      <w:sz w:val="18"/>
      <w:szCs w:val="18"/>
    </w:rPr>
  </w:style>
  <w:style w:type="paragraph" w:styleId="berarbeitung">
    <w:name w:val="Revision"/>
    <w:hidden/>
    <w:uiPriority w:val="99"/>
    <w:semiHidden/>
    <w:rsid w:val="00175CE9"/>
  </w:style>
  <w:style w:type="paragraph" w:styleId="StandardWeb">
    <w:name w:val="Normal (Web)"/>
    <w:basedOn w:val="Standard"/>
    <w:uiPriority w:val="99"/>
    <w:unhideWhenUsed/>
    <w:rsid w:val="00EA359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EndNoteBibliographyTitle">
    <w:name w:val="EndNote Bibliography Title"/>
    <w:basedOn w:val="Standard"/>
    <w:link w:val="EndNoteBibliographyTitleChar"/>
    <w:rsid w:val="00A43F63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A43F63"/>
    <w:rPr>
      <w:rFonts w:ascii="Calibri" w:hAnsi="Calibri" w:cs="Calibri"/>
    </w:rPr>
  </w:style>
  <w:style w:type="paragraph" w:customStyle="1" w:styleId="EndNoteBibliography">
    <w:name w:val="EndNote Bibliography"/>
    <w:basedOn w:val="Standard"/>
    <w:link w:val="EndNoteBibliographyChar"/>
    <w:rsid w:val="00A43F63"/>
    <w:rPr>
      <w:rFonts w:ascii="Calibri" w:hAnsi="Calibri" w:cs="Calibri"/>
    </w:rPr>
  </w:style>
  <w:style w:type="character" w:customStyle="1" w:styleId="EndNoteBibliographyChar">
    <w:name w:val="EndNote Bibliography Char"/>
    <w:basedOn w:val="Absatz-Standardschriftart"/>
    <w:link w:val="EndNoteBibliography"/>
    <w:rsid w:val="00A43F63"/>
    <w:rPr>
      <w:rFonts w:ascii="Calibri" w:hAnsi="Calibri" w:cs="Calibri"/>
    </w:rPr>
  </w:style>
  <w:style w:type="table" w:styleId="Gitternetztabelle2Akzent1">
    <w:name w:val="Grid Table 2 Accent 1"/>
    <w:basedOn w:val="NormaleTabelle"/>
    <w:uiPriority w:val="47"/>
    <w:rsid w:val="006F4B1A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3">
    <w:name w:val="Grid Table 3"/>
    <w:basedOn w:val="NormaleTabelle"/>
    <w:uiPriority w:val="48"/>
    <w:rsid w:val="00B20F85"/>
    <w:rPr>
      <w:lang w:val="de-D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Listenabsatz">
    <w:name w:val="List Paragraph"/>
    <w:basedOn w:val="Standard"/>
    <w:uiPriority w:val="34"/>
    <w:qFormat/>
    <w:rsid w:val="00137CA3"/>
    <w:pPr>
      <w:ind w:left="720"/>
      <w:contextualSpacing/>
    </w:pPr>
  </w:style>
  <w:style w:type="table" w:styleId="Tabellenraster">
    <w:name w:val="Table Grid"/>
    <w:basedOn w:val="NormaleTabelle"/>
    <w:uiPriority w:val="39"/>
    <w:rsid w:val="00AE2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7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7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9F9C2D-78B5-964E-9DDF-108B711BD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1412</Words>
  <Characters>8900</Characters>
  <Application>Microsoft Office Word</Application>
  <DocSecurity>0</DocSecurity>
  <Lines>74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Rejeski</dc:creator>
  <cp:keywords/>
  <dc:description/>
  <cp:lastModifiedBy>Veit Bücklein</cp:lastModifiedBy>
  <cp:revision>3</cp:revision>
  <cp:lastPrinted>2022-03-11T14:55:00Z</cp:lastPrinted>
  <dcterms:created xsi:type="dcterms:W3CDTF">2023-02-12T23:18:00Z</dcterms:created>
  <dcterms:modified xsi:type="dcterms:W3CDTF">2023-02-13T00:07:00Z</dcterms:modified>
</cp:coreProperties>
</file>