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09F6" w14:textId="414BF15F" w:rsidR="007351D1" w:rsidRDefault="007351D1" w:rsidP="007351D1">
      <w:pPr>
        <w:widowControl w:val="0"/>
        <w:autoSpaceDE w:val="0"/>
        <w:autoSpaceDN w:val="0"/>
        <w:adjustRightInd w:val="0"/>
        <w:spacing w:line="480" w:lineRule="auto"/>
        <w:rPr>
          <w:b/>
          <w:bCs/>
        </w:rPr>
      </w:pPr>
      <w:r>
        <w:rPr>
          <w:b/>
          <w:bCs/>
        </w:rPr>
        <w:t>Supplementary Materials and Methods</w:t>
      </w:r>
    </w:p>
    <w:p w14:paraId="1977AD52" w14:textId="64C4F093" w:rsidR="004D262B" w:rsidRDefault="004D262B" w:rsidP="007351D1">
      <w:pPr>
        <w:widowControl w:val="0"/>
        <w:autoSpaceDE w:val="0"/>
        <w:autoSpaceDN w:val="0"/>
        <w:adjustRightInd w:val="0"/>
        <w:spacing w:line="480" w:lineRule="auto"/>
        <w:rPr>
          <w:b/>
          <w:bCs/>
        </w:rPr>
      </w:pPr>
    </w:p>
    <w:p w14:paraId="724E308F" w14:textId="719CE806" w:rsidR="004D262B" w:rsidRDefault="004D262B" w:rsidP="007351D1">
      <w:pPr>
        <w:widowControl w:val="0"/>
        <w:autoSpaceDE w:val="0"/>
        <w:autoSpaceDN w:val="0"/>
        <w:adjustRightInd w:val="0"/>
        <w:spacing w:line="480" w:lineRule="auto"/>
        <w:rPr>
          <w:b/>
          <w:bCs/>
        </w:rPr>
      </w:pPr>
      <w:r>
        <w:rPr>
          <w:b/>
          <w:bCs/>
        </w:rPr>
        <w:t xml:space="preserve">Sanger Sequencing </w:t>
      </w:r>
    </w:p>
    <w:p w14:paraId="5509D79E" w14:textId="65B1994A" w:rsidR="00B227D3" w:rsidRDefault="00B227D3" w:rsidP="00B227D3">
      <w:pPr>
        <w:spacing w:line="480" w:lineRule="auto"/>
        <w:jc w:val="both"/>
        <w:rPr>
          <w:lang w:val="en-US"/>
        </w:rPr>
      </w:pPr>
      <w:r>
        <w:t xml:space="preserve">Genomic DNA samples from blood were </w:t>
      </w:r>
      <w:proofErr w:type="spellStart"/>
      <w:r w:rsidR="0066497F">
        <w:t>analyzed</w:t>
      </w:r>
      <w:proofErr w:type="spellEnd"/>
      <w:r>
        <w:t xml:space="preserve"> for </w:t>
      </w:r>
      <w:r w:rsidR="0066497F">
        <w:t xml:space="preserve">variants in </w:t>
      </w:r>
      <w:r w:rsidR="008471AF">
        <w:rPr>
          <w:i/>
          <w:iCs/>
        </w:rPr>
        <w:t xml:space="preserve">BLM </w:t>
      </w:r>
      <w:r w:rsidR="008471AF" w:rsidRPr="008471AF">
        <w:rPr>
          <w:iCs/>
        </w:rPr>
        <w:t>and</w:t>
      </w:r>
      <w:r w:rsidRPr="00B50E14">
        <w:rPr>
          <w:i/>
          <w:iCs/>
        </w:rPr>
        <w:t xml:space="preserve"> RMI1</w:t>
      </w:r>
      <w:r>
        <w:t xml:space="preserve"> by using specific primers for the regions of interest</w:t>
      </w:r>
      <w:r w:rsidR="000F2DE6">
        <w:t xml:space="preserve"> </w:t>
      </w:r>
      <w:r w:rsidR="000F2DE6">
        <w:rPr>
          <w:lang w:val="en-US"/>
        </w:rPr>
        <w:t>including the exon-intron boundaries</w:t>
      </w:r>
      <w:r>
        <w:t xml:space="preserve">. </w:t>
      </w:r>
      <w:r>
        <w:rPr>
          <w:lang w:val="en-US"/>
        </w:rPr>
        <w:t>Following amplification, Sanger sequencing</w:t>
      </w:r>
      <w:r w:rsidRPr="00A839A2">
        <w:rPr>
          <w:lang w:val="en-US"/>
        </w:rPr>
        <w:t xml:space="preserve"> </w:t>
      </w:r>
      <w:r w:rsidRPr="00DA42D1">
        <w:rPr>
          <w:lang w:val="en-US"/>
        </w:rPr>
        <w:t>reaction</w:t>
      </w:r>
      <w:r>
        <w:rPr>
          <w:lang w:val="en-US"/>
        </w:rPr>
        <w:t>s</w:t>
      </w:r>
      <w:r w:rsidRPr="00DA42D1">
        <w:rPr>
          <w:lang w:val="en-US"/>
        </w:rPr>
        <w:t xml:space="preserve"> w</w:t>
      </w:r>
      <w:r>
        <w:rPr>
          <w:lang w:val="en-US"/>
        </w:rPr>
        <w:t>ere</w:t>
      </w:r>
      <w:r w:rsidRPr="00DA42D1">
        <w:rPr>
          <w:lang w:val="en-US"/>
        </w:rPr>
        <w:t xml:space="preserve"> carried out with </w:t>
      </w:r>
      <w:r>
        <w:rPr>
          <w:lang w:val="en-US"/>
        </w:rPr>
        <w:t xml:space="preserve">the </w:t>
      </w:r>
      <w:r w:rsidRPr="00DA42D1">
        <w:rPr>
          <w:lang w:val="en-US"/>
        </w:rPr>
        <w:t>Big Dy</w:t>
      </w:r>
      <w:bookmarkStart w:id="0" w:name="_GoBack"/>
      <w:bookmarkEnd w:id="0"/>
      <w:r w:rsidRPr="00DA42D1">
        <w:rPr>
          <w:lang w:val="en-US"/>
        </w:rPr>
        <w:t xml:space="preserve">e Terminator v3.1 (Applied </w:t>
      </w:r>
      <w:proofErr w:type="spellStart"/>
      <w:r w:rsidRPr="00DA42D1">
        <w:rPr>
          <w:lang w:val="en-US"/>
        </w:rPr>
        <w:t>Biosystems</w:t>
      </w:r>
      <w:proofErr w:type="spellEnd"/>
      <w:r w:rsidRPr="00DA42D1">
        <w:rPr>
          <w:lang w:val="en-US"/>
        </w:rPr>
        <w:t xml:space="preserve">, USA) according to the instructions of the manufacturer, followed by capillary electrophoresis on </w:t>
      </w:r>
      <w:r>
        <w:rPr>
          <w:lang w:val="en-US"/>
        </w:rPr>
        <w:t xml:space="preserve">an </w:t>
      </w:r>
      <w:r w:rsidRPr="00DA42D1">
        <w:rPr>
          <w:lang w:val="en-US"/>
        </w:rPr>
        <w:t>ABI 3500XL sequencer</w:t>
      </w:r>
      <w:r>
        <w:rPr>
          <w:lang w:val="en-US"/>
        </w:rPr>
        <w:t xml:space="preserve"> (Applied </w:t>
      </w:r>
      <w:proofErr w:type="spellStart"/>
      <w:r>
        <w:rPr>
          <w:lang w:val="en-US"/>
        </w:rPr>
        <w:t>Biosystems</w:t>
      </w:r>
      <w:proofErr w:type="spellEnd"/>
      <w:r>
        <w:rPr>
          <w:lang w:val="en-US"/>
        </w:rPr>
        <w:t xml:space="preserve">, USA). </w:t>
      </w:r>
      <w:r w:rsidRPr="007A7A3E">
        <w:rPr>
          <w:lang w:val="en-US"/>
        </w:rPr>
        <w:t>Detailed primer sequences and PCR conditions are available upon request</w:t>
      </w:r>
      <w:r>
        <w:rPr>
          <w:lang w:val="en-US"/>
        </w:rPr>
        <w:t>.</w:t>
      </w:r>
      <w:r w:rsidR="00CC125F">
        <w:rPr>
          <w:lang w:val="en-US"/>
        </w:rPr>
        <w:t xml:space="preserve"> When a variant was detected, the parents were also investigated for the corresponding region in the same way.</w:t>
      </w:r>
    </w:p>
    <w:p w14:paraId="58C3A295" w14:textId="290E9672" w:rsidR="004D262B" w:rsidRDefault="004D262B" w:rsidP="007351D1">
      <w:pPr>
        <w:widowControl w:val="0"/>
        <w:autoSpaceDE w:val="0"/>
        <w:autoSpaceDN w:val="0"/>
        <w:adjustRightInd w:val="0"/>
        <w:spacing w:line="480" w:lineRule="auto"/>
        <w:rPr>
          <w:b/>
          <w:bCs/>
        </w:rPr>
      </w:pPr>
    </w:p>
    <w:p w14:paraId="375306D9" w14:textId="77777777" w:rsidR="007351D1" w:rsidRPr="00EF216A" w:rsidRDefault="007351D1" w:rsidP="007351D1">
      <w:pPr>
        <w:spacing w:line="480" w:lineRule="auto"/>
        <w:jc w:val="both"/>
        <w:rPr>
          <w:lang w:val="en-US"/>
        </w:rPr>
      </w:pPr>
      <w:r w:rsidRPr="00EF216A">
        <w:rPr>
          <w:rFonts w:cs="Arial"/>
          <w:b/>
          <w:bCs/>
          <w:lang w:val="en-US"/>
        </w:rPr>
        <w:t>Microcephaly panel sequencing</w:t>
      </w:r>
    </w:p>
    <w:p w14:paraId="073A7C91" w14:textId="2B10999D" w:rsidR="007351D1" w:rsidRDefault="007351D1" w:rsidP="007351D1">
      <w:pPr>
        <w:spacing w:line="480" w:lineRule="auto"/>
        <w:jc w:val="both"/>
        <w:rPr>
          <w:rFonts w:cs="Arial"/>
          <w:lang w:val="en-US"/>
        </w:rPr>
      </w:pPr>
      <w:r>
        <w:rPr>
          <w:rFonts w:cs="Arial"/>
          <w:lang w:val="en-US"/>
        </w:rPr>
        <w:t>An NGS-based in-house microcephaly panel (</w:t>
      </w:r>
      <w:r w:rsidRPr="00D251EA">
        <w:rPr>
          <w:rFonts w:cs="Arial"/>
          <w:lang w:val="en-US"/>
        </w:rPr>
        <w:t>Agilen</w:t>
      </w:r>
      <w:r>
        <w:rPr>
          <w:rFonts w:cs="Arial"/>
          <w:lang w:val="en-US"/>
        </w:rPr>
        <w:t xml:space="preserve">t Technologies, Santa Clara, CA) covering </w:t>
      </w:r>
      <w:r w:rsidR="00C1682D">
        <w:rPr>
          <w:rFonts w:cs="Arial"/>
          <w:iCs/>
          <w:lang w:val="en-US"/>
        </w:rPr>
        <w:t>93</w:t>
      </w:r>
      <w:r>
        <w:rPr>
          <w:rFonts w:cs="Arial"/>
          <w:lang w:val="en-US"/>
        </w:rPr>
        <w:t xml:space="preserve"> microcephaly-related genes </w:t>
      </w:r>
      <w:r w:rsidRPr="00B9698D">
        <w:rPr>
          <w:rFonts w:cs="Arial"/>
        </w:rPr>
        <w:t xml:space="preserve">including the intron-exon </w:t>
      </w:r>
      <w:r>
        <w:rPr>
          <w:rFonts w:cs="Arial"/>
        </w:rPr>
        <w:t>boundaries</w:t>
      </w:r>
      <w:r>
        <w:rPr>
          <w:rFonts w:cs="Arial"/>
          <w:lang w:val="en-US"/>
        </w:rPr>
        <w:t xml:space="preserve"> was used for the diagnosis of one patient (www.humangenetik-umg.de). </w:t>
      </w:r>
      <w:r w:rsidR="00C1682D">
        <w:rPr>
          <w:rFonts w:cs="Arial"/>
          <w:lang w:val="en-US"/>
        </w:rPr>
        <w:t xml:space="preserve">List of the genes included in </w:t>
      </w:r>
      <w:proofErr w:type="gramStart"/>
      <w:r w:rsidR="00C1682D">
        <w:rPr>
          <w:rFonts w:cs="Arial"/>
          <w:lang w:val="en-US"/>
        </w:rPr>
        <w:t>this  pane</w:t>
      </w:r>
      <w:r w:rsidR="00154E47">
        <w:rPr>
          <w:rFonts w:cs="Arial"/>
          <w:lang w:val="en-US"/>
        </w:rPr>
        <w:t>l</w:t>
      </w:r>
      <w:proofErr w:type="gramEnd"/>
      <w:r w:rsidR="00154E47">
        <w:rPr>
          <w:rFonts w:cs="Arial"/>
          <w:lang w:val="en-US"/>
        </w:rPr>
        <w:t xml:space="preserve"> is given in</w:t>
      </w:r>
      <w:r w:rsidR="00C1682D">
        <w:rPr>
          <w:rFonts w:cs="Arial"/>
          <w:lang w:val="en-US"/>
        </w:rPr>
        <w:t xml:space="preserve"> Supplementary Table 1. </w:t>
      </w:r>
      <w:r>
        <w:rPr>
          <w:rFonts w:cs="Arial"/>
          <w:lang w:val="en-US"/>
        </w:rPr>
        <w:t xml:space="preserve">DNA was extracted from blood and enriched </w:t>
      </w:r>
      <w:r w:rsidRPr="00B9698D">
        <w:rPr>
          <w:rFonts w:cs="Arial"/>
        </w:rPr>
        <w:t xml:space="preserve">with the </w:t>
      </w:r>
      <w:proofErr w:type="spellStart"/>
      <w:r w:rsidRPr="00B9698D">
        <w:rPr>
          <w:rFonts w:cs="Arial"/>
        </w:rPr>
        <w:t>SureSelect</w:t>
      </w:r>
      <w:proofErr w:type="spellEnd"/>
      <w:r w:rsidRPr="00B9698D">
        <w:rPr>
          <w:rFonts w:cs="Arial"/>
        </w:rPr>
        <w:t xml:space="preserve"> QXT method</w:t>
      </w:r>
      <w:r>
        <w:rPr>
          <w:rFonts w:cs="Arial"/>
          <w:lang w:val="en-US"/>
        </w:rPr>
        <w:t>, PCR-</w:t>
      </w:r>
      <w:r w:rsidRPr="00B9698D">
        <w:rPr>
          <w:rFonts w:cs="Arial"/>
        </w:rPr>
        <w:t>amplified</w:t>
      </w:r>
      <w:r>
        <w:rPr>
          <w:rFonts w:cs="Arial"/>
        </w:rPr>
        <w:t>,</w:t>
      </w:r>
      <w:r w:rsidRPr="00B9698D">
        <w:rPr>
          <w:rFonts w:cs="Arial"/>
        </w:rPr>
        <w:t xml:space="preserve"> and </w:t>
      </w:r>
      <w:r>
        <w:rPr>
          <w:rFonts w:cs="Arial"/>
          <w:lang w:val="en-US"/>
        </w:rPr>
        <w:t xml:space="preserve">sequenced </w:t>
      </w:r>
      <w:r>
        <w:rPr>
          <w:rFonts w:cs="Arial"/>
        </w:rPr>
        <w:t>on</w:t>
      </w:r>
      <w:r w:rsidRPr="00B9698D">
        <w:rPr>
          <w:rFonts w:cs="Arial"/>
        </w:rPr>
        <w:t xml:space="preserve"> </w:t>
      </w:r>
      <w:r>
        <w:rPr>
          <w:rFonts w:cs="Arial"/>
        </w:rPr>
        <w:t xml:space="preserve">the </w:t>
      </w:r>
      <w:r w:rsidRPr="00B9698D">
        <w:rPr>
          <w:rFonts w:cs="Arial"/>
        </w:rPr>
        <w:t xml:space="preserve">Illumina </w:t>
      </w:r>
      <w:proofErr w:type="spellStart"/>
      <w:r w:rsidRPr="00B9698D">
        <w:rPr>
          <w:rFonts w:cs="Arial"/>
        </w:rPr>
        <w:t>NextSeq</w:t>
      </w:r>
      <w:proofErr w:type="spellEnd"/>
      <w:r w:rsidRPr="00B9698D">
        <w:rPr>
          <w:rFonts w:cs="Arial"/>
        </w:rPr>
        <w:t xml:space="preserve"> system. </w:t>
      </w:r>
      <w:r>
        <w:rPr>
          <w:rFonts w:cs="Arial"/>
          <w:lang w:val="en-US"/>
        </w:rPr>
        <w:t xml:space="preserve">The sequencing data was </w:t>
      </w:r>
      <w:r w:rsidRPr="00B9698D">
        <w:rPr>
          <w:rFonts w:cs="Arial"/>
        </w:rPr>
        <w:t>evaluated</w:t>
      </w:r>
      <w:r>
        <w:rPr>
          <w:rFonts w:cs="Arial"/>
          <w:lang w:val="en-US"/>
        </w:rPr>
        <w:t xml:space="preserve"> in comparison to the reference sequence (from </w:t>
      </w:r>
      <w:r w:rsidRPr="00B9698D">
        <w:rPr>
          <w:rFonts w:cs="Arial"/>
        </w:rPr>
        <w:t>www.ensembl.org</w:t>
      </w:r>
      <w:r>
        <w:rPr>
          <w:rFonts w:cs="Arial"/>
          <w:lang w:val="en-US"/>
        </w:rPr>
        <w:t>)</w:t>
      </w:r>
      <w:r w:rsidRPr="00B9698D">
        <w:rPr>
          <w:rFonts w:cs="Arial"/>
        </w:rPr>
        <w:t xml:space="preserve"> with the Sequence Pilot software (</w:t>
      </w:r>
      <w:proofErr w:type="spellStart"/>
      <w:r w:rsidRPr="00B9698D">
        <w:rPr>
          <w:rFonts w:cs="Arial"/>
        </w:rPr>
        <w:t>jsi</w:t>
      </w:r>
      <w:proofErr w:type="spellEnd"/>
      <w:r w:rsidRPr="00B9698D">
        <w:rPr>
          <w:rFonts w:cs="Arial"/>
        </w:rPr>
        <w:t xml:space="preserve"> medical systems GmbH; Version 5.0.0 Build 506)</w:t>
      </w:r>
      <w:r>
        <w:rPr>
          <w:rFonts w:cs="Arial"/>
          <w:lang w:val="en-US"/>
        </w:rPr>
        <w:t xml:space="preserve">. Detected unknown </w:t>
      </w:r>
      <w:r w:rsidRPr="00B9698D">
        <w:rPr>
          <w:rFonts w:cs="Arial"/>
        </w:rPr>
        <w:t>variants were</w:t>
      </w:r>
      <w:r>
        <w:rPr>
          <w:rFonts w:cs="Arial"/>
          <w:lang w:val="en-US"/>
        </w:rPr>
        <w:t xml:space="preserve"> evaluated </w:t>
      </w:r>
      <w:r>
        <w:rPr>
          <w:rFonts w:cs="Arial"/>
        </w:rPr>
        <w:t>by</w:t>
      </w:r>
      <w:r w:rsidRPr="00B9698D">
        <w:rPr>
          <w:rFonts w:cs="Arial"/>
        </w:rPr>
        <w:t xml:space="preserve"> computer programs </w:t>
      </w:r>
      <w:r>
        <w:rPr>
          <w:rFonts w:cs="Arial"/>
          <w:lang w:val="en-US"/>
        </w:rPr>
        <w:t xml:space="preserve">such as </w:t>
      </w:r>
      <w:r w:rsidRPr="00B9698D">
        <w:rPr>
          <w:rFonts w:cs="Arial"/>
        </w:rPr>
        <w:t>SIFT</w:t>
      </w:r>
      <w:r w:rsidR="00B07BC1">
        <w:rPr>
          <w:rFonts w:cs="Arial"/>
        </w:rPr>
        <w:fldChar w:fldCharType="begin" w:fldLock="1"/>
      </w:r>
      <w:r w:rsidR="00B07BC1">
        <w:rPr>
          <w:rFonts w:cs="Arial"/>
        </w:rPr>
        <w:instrText>ADDIN CSL_CITATION {"citationItems":[{"id":"ITEM-1","itemData":{"DOI":"10.1093/nar/gks539","ISSN":"0305-1048","abstract":"The Sorting Intolerant from Tolerant (SIFT) algorithm predicts the effect of coding variants on protein function. It was first introduced in 2001, with a corresponding website that provides users with predictions on their variants. Since its release, SIFT has become one of the standard tools for characterizing missense variation. We have updated SIFT’s genome-wide prediction tool since our last publication in 2009, and added new features to the insertion/deletion (indel) tool. We also show accuracy metrics on independent data sets. The original developers have hosted the SIFT web server at FHCRC, JCVI and the web server is currently located at BII. The URL is http://sift-dna.org (24 May 2012, date last accessed).","author":[{"dropping-particle":"","family":"Sim","given":"Ngak-Leng","non-dropping-particle":"","parse-names":false,"suffix":""},{"dropping-particle":"","family":"Kumar","given":"Prateek","non-dropping-particle":"","parse-names":false,"suffix":""},{"dropping-particle":"","family":"Hu","given":"Jing","non-dropping-particle":"","parse-names":false,"suffix":""},{"dropping-particle":"","family":"Henikoff","given":"Steven","non-dropping-particle":"","parse-names":false,"suffix":""},{"dropping-particle":"","family":"Schneider","given":"Georg","non-dropping-particle":"","parse-names":false,"suffix":""},{"dropping-particle":"","family":"Ng","given":"Pauline C","non-dropping-particle":"","parse-names":false,"suffix":""}],"container-title":"Nucleic Acids Research","id":"ITEM-1","issue":"W1","issued":{"date-parts":[["2012","7","1"]]},"page":"W452-W457","title":"SIFT web server: predicting effects of amino acid substitutions on proteins","type":"article-journal","volume":"40"},"uris":["http://www.mendeley.com/documents/?uuid=45148ab1-</w:instrText>
      </w:r>
      <w:r w:rsidR="00B07BC1" w:rsidRPr="008471AF">
        <w:rPr>
          <w:rFonts w:cs="Arial"/>
          <w:lang w:val="de-DE"/>
        </w:rPr>
        <w:instrText>e0ad-486b-b140-bd81fd94bc4d"]}],"mendeley":{"formattedCitation":"&lt;sup&gt;1&lt;/sup&gt;","plainTextFormattedCitation":"1","previouslyFormattedCitation":"&lt;sup&gt;1&lt;/sup&gt;"},"properties":{"noteIndex":0},"schema":"https://github.com/citation-style-language/schema/raw/master/csl-citation.json"}</w:instrText>
      </w:r>
      <w:r w:rsidR="00B07BC1">
        <w:rPr>
          <w:rFonts w:cs="Arial"/>
        </w:rPr>
        <w:fldChar w:fldCharType="separate"/>
      </w:r>
      <w:r w:rsidR="00B07BC1" w:rsidRPr="008471AF">
        <w:rPr>
          <w:rFonts w:cs="Arial"/>
          <w:noProof/>
          <w:vertAlign w:val="superscript"/>
          <w:lang w:val="de-DE"/>
        </w:rPr>
        <w:t>1</w:t>
      </w:r>
      <w:r w:rsidR="00B07BC1">
        <w:rPr>
          <w:rFonts w:cs="Arial"/>
        </w:rPr>
        <w:fldChar w:fldCharType="end"/>
      </w:r>
      <w:r w:rsidRPr="008471AF">
        <w:rPr>
          <w:rFonts w:cs="Arial"/>
          <w:lang w:val="de-DE"/>
        </w:rPr>
        <w:t xml:space="preserve"> (https://sift.bii.a-star.edu.sg),</w:t>
      </w:r>
      <w:r w:rsidRPr="008471AF">
        <w:rPr>
          <w:lang w:val="de-DE"/>
        </w:rPr>
        <w:t xml:space="preserve"> </w:t>
      </w:r>
      <w:r w:rsidRPr="008471AF">
        <w:rPr>
          <w:rFonts w:cs="Arial"/>
          <w:lang w:val="de-DE"/>
        </w:rPr>
        <w:t>Mutation</w:t>
      </w:r>
      <w:r w:rsidR="00CA1BC1" w:rsidRPr="008471AF">
        <w:rPr>
          <w:rFonts w:cs="Arial"/>
          <w:lang w:val="de-DE"/>
        </w:rPr>
        <w:t>T</w:t>
      </w:r>
      <w:r w:rsidRPr="008471AF">
        <w:rPr>
          <w:rFonts w:cs="Arial"/>
          <w:lang w:val="de-DE"/>
        </w:rPr>
        <w:t>aster</w:t>
      </w:r>
      <w:r w:rsidR="00B07BC1">
        <w:rPr>
          <w:rFonts w:cs="Arial"/>
          <w:lang w:val="en-US"/>
        </w:rPr>
        <w:fldChar w:fldCharType="begin" w:fldLock="1"/>
      </w:r>
      <w:r w:rsidR="00B07BC1" w:rsidRPr="008471AF">
        <w:rPr>
          <w:rFonts w:cs="Arial"/>
          <w:lang w:val="de-DE"/>
        </w:rPr>
        <w:instrText>ADDIN CSL_CITATION {"citationItems":[{"id":"ITEM-1","itemData":{"DOI":"10.1038/nmeth.2890"</w:instrText>
      </w:r>
      <w:r w:rsidR="00B07BC1" w:rsidRPr="00B50E14">
        <w:rPr>
          <w:rFonts w:cs="Arial"/>
          <w:lang w:val="de-DE"/>
        </w:rPr>
        <w:instrText>,"ISSN":"1548-7105","author":[{"dropping-particle":"","family":"Schwarz","given":"Jana Marie","non-dropping-particle":"","parse-names":false,"suffix":""},{"dropping-particle":"","family":"Cooper","given":"David N","non-dropping-particle":"","parse-names":false,"suffix":""},{"dropping-particle":"","family":"Schuelke","given":"Markus","non-dropping-particle":"","parse-names":false,"suffix":""},{"dropping-particle":"","family":"Seelow","given":"Dominik","non-dropping-particle":"","parse-names":false,"suffix":""}],"container-title":"Nature Methods","id":"ITEM-1","issue":"4","issued":{"date-parts":[["2014"]]},"page":"361-362","title":"MutationTaster2: mutation prediction for the deep-sequencing age","type":"article-journal","volume":"11"},"uris":["http://www.mendeley.com/documents/?uuid=354f7dba-8064-4f87-a002-ccd609aaeb20"]}],"mendeley":{"formattedCitation":"&lt;sup&gt;2&lt;/sup&gt;","plainTextFormattedCitation":"2","previouslyFormattedCitation":"&lt;sup&gt;2&lt;/sup&gt;"},"properties":{"noteIndex":0},"schema":"https://github.com/citation-style-language/schema/raw/master/csl-citation.json"}</w:instrText>
      </w:r>
      <w:r w:rsidR="00B07BC1">
        <w:rPr>
          <w:rFonts w:cs="Arial"/>
          <w:lang w:val="en-US"/>
        </w:rPr>
        <w:fldChar w:fldCharType="separate"/>
      </w:r>
      <w:r w:rsidR="00B07BC1" w:rsidRPr="00B50E14">
        <w:rPr>
          <w:rFonts w:cs="Arial"/>
          <w:noProof/>
          <w:vertAlign w:val="superscript"/>
          <w:lang w:val="de-DE"/>
        </w:rPr>
        <w:t>2</w:t>
      </w:r>
      <w:r w:rsidR="00B07BC1">
        <w:rPr>
          <w:rFonts w:cs="Arial"/>
          <w:lang w:val="en-US"/>
        </w:rPr>
        <w:fldChar w:fldCharType="end"/>
      </w:r>
      <w:r w:rsidRPr="00B50E14">
        <w:rPr>
          <w:rFonts w:cs="Arial"/>
          <w:lang w:val="de-DE"/>
        </w:rPr>
        <w:t xml:space="preserve"> (www.mutationtaster.org), PolyPhen2</w:t>
      </w:r>
      <w:r w:rsidR="00B07BC1">
        <w:rPr>
          <w:rFonts w:cs="Arial"/>
          <w:lang w:val="en-US"/>
        </w:rPr>
        <w:fldChar w:fldCharType="begin" w:fldLock="1"/>
      </w:r>
      <w:r w:rsidR="00B07BC1" w:rsidRPr="00B50E14">
        <w:rPr>
          <w:rFonts w:cs="Arial"/>
          <w:lang w:val="de-DE"/>
        </w:rPr>
        <w:instrText>ADDIN CSL_CITATION {"citationItems":[{"id":"ITEM-1","itemData":{"DOI":"10.1038/nmeth0410-248","ISSN":"1548-7105 (Electronic)","PMID":"20354512","author":[{"dropping-particle":"","family":"Adzhubei",</w:instrText>
      </w:r>
      <w:r w:rsidR="00B07BC1" w:rsidRPr="008471AF">
        <w:rPr>
          <w:rFonts w:cs="Arial"/>
          <w:lang w:val="en-US"/>
        </w:rPr>
        <w:instrText>"given":"Ivan A","non-dropping-particle":"","parse-names":false,"suffix":""},{"dropping-particle":"","family":"Schmidt","given":"Steffen","non-dropping-particle":"","parse-names":false,"suffix":""},{"dropping-particle":"","family":"Peshkin","given":"Leonid","non-dropping-particle":"","parse-names":false,"suffix":""},{"dropping-particle":"","family":"Ramensky","given":"Vasily E","non-dropping-particle":"","parse-names":false,"suffix":""},{"dropping-particle":"","family":"Gerasimova","given":"Anna","non-dropping-particle":"","parse-names":false,"suffix":""},{"dropping-particle":"","family":"Bork","given":"Peer","non-dropping-particle":"","parse-names":false,"suffix":""},{"dropping-particle":"","family":"Kondrashov","given":"Alexey S","non-dropping-particle":"","parse-names":false,"suffix":""},{"dropping-particle":"","family":"Sunyaev","given":"Shamil R","non-dropping-particle":"","parse-names":false,"suffix":""}],"container-title":"Nature methods","id":"ITEM-1","issue":"4","issued":{"date-parts":[["2010","4"]]},"language":"eng","page":"248-249","title":"A method and server for predicting damaging missense mutations.","type":"article","volume":"7"},"uris":["http://www.mendeley.com/documents/?uuid=54624743-572f-4f74-9409-0938e6361203"]}],"mendeley</w:instrText>
      </w:r>
      <w:r w:rsidR="00B07BC1" w:rsidRPr="00B50E14">
        <w:rPr>
          <w:rFonts w:cs="Arial"/>
          <w:lang w:val="en-US"/>
        </w:rPr>
        <w:instrText>":{"formattedCitation":"&lt;sup&gt;3&lt;/sup&gt;","plainTextFormattedCitation":"3","previouslyFormattedCitation":"&lt;sup&gt;3&lt;/sup&gt;"},"properties":{"noteIndex":0},"schema":"https://github.com/citation-style-language/schema/raw/master/csl-citation.json"}</w:instrText>
      </w:r>
      <w:r w:rsidR="00B07BC1">
        <w:rPr>
          <w:rFonts w:cs="Arial"/>
          <w:lang w:val="en-US"/>
        </w:rPr>
        <w:fldChar w:fldCharType="separate"/>
      </w:r>
      <w:r w:rsidR="00B07BC1" w:rsidRPr="00B07BC1">
        <w:rPr>
          <w:rFonts w:cs="Arial"/>
          <w:noProof/>
          <w:vertAlign w:val="superscript"/>
          <w:lang w:val="en-US"/>
        </w:rPr>
        <w:t>3</w:t>
      </w:r>
      <w:r w:rsidR="00B07BC1">
        <w:rPr>
          <w:rFonts w:cs="Arial"/>
          <w:lang w:val="en-US"/>
        </w:rPr>
        <w:fldChar w:fldCharType="end"/>
      </w:r>
      <w:r w:rsidRPr="00B9698D">
        <w:rPr>
          <w:rFonts w:cs="Arial"/>
        </w:rPr>
        <w:t xml:space="preserve"> (</w:t>
      </w:r>
      <w:r w:rsidRPr="0087000D">
        <w:rPr>
          <w:rFonts w:cs="Arial"/>
        </w:rPr>
        <w:t>http://genetics.bwh.harvard.edu/pph2/</w:t>
      </w:r>
      <w:r w:rsidRPr="00B9698D">
        <w:rPr>
          <w:rFonts w:cs="Arial"/>
        </w:rPr>
        <w:t>), M-CAP (</w:t>
      </w:r>
      <w:r w:rsidRPr="0087000D">
        <w:rPr>
          <w:rFonts w:cs="Arial"/>
        </w:rPr>
        <w:t>http://bejerano.stanford.edu/mcap/</w:t>
      </w:r>
      <w:r w:rsidRPr="00B9698D">
        <w:rPr>
          <w:rFonts w:cs="Arial"/>
        </w:rPr>
        <w:t xml:space="preserve">), </w:t>
      </w:r>
      <w:r w:rsidRPr="0092091E">
        <w:rPr>
          <w:rFonts w:cs="Arial"/>
        </w:rPr>
        <w:t>Human Splicing Finder</w:t>
      </w:r>
      <w:r w:rsidRPr="0092091E">
        <w:rPr>
          <w:rFonts w:cs="Arial"/>
          <w:lang w:val="en-US"/>
        </w:rPr>
        <w:t xml:space="preserve"> </w:t>
      </w:r>
      <w:r w:rsidRPr="0092091E">
        <w:rPr>
          <w:rFonts w:cs="Arial"/>
        </w:rPr>
        <w:t>(http://www.umd.be/HSF3/HSF.shtml), BDGP</w:t>
      </w:r>
      <w:r w:rsidRPr="00B9698D">
        <w:rPr>
          <w:rFonts w:cs="Arial"/>
        </w:rPr>
        <w:t xml:space="preserve"> Splice Site </w:t>
      </w:r>
      <w:r>
        <w:rPr>
          <w:rFonts w:cs="Arial"/>
          <w:lang w:val="en-US"/>
        </w:rPr>
        <w:t>P</w:t>
      </w:r>
      <w:proofErr w:type="spellStart"/>
      <w:r w:rsidRPr="00B9698D">
        <w:rPr>
          <w:rFonts w:cs="Arial"/>
        </w:rPr>
        <w:t>rediction</w:t>
      </w:r>
      <w:proofErr w:type="spellEnd"/>
      <w:r w:rsidRPr="00B9698D">
        <w:rPr>
          <w:rFonts w:cs="Arial"/>
        </w:rPr>
        <w:t xml:space="preserve"> (</w:t>
      </w:r>
      <w:r w:rsidRPr="0087000D">
        <w:rPr>
          <w:rFonts w:cs="Arial"/>
        </w:rPr>
        <w:t>https://fruitfly.org/seq_tools/splice.html</w:t>
      </w:r>
      <w:r w:rsidRPr="00B9698D">
        <w:rPr>
          <w:rFonts w:cs="Arial"/>
        </w:rPr>
        <w:t>)</w:t>
      </w:r>
      <w:r>
        <w:rPr>
          <w:rFonts w:cs="Arial"/>
          <w:lang w:val="en-US"/>
        </w:rPr>
        <w:t>,</w:t>
      </w:r>
      <w:r w:rsidRPr="00B9698D">
        <w:rPr>
          <w:rFonts w:cs="Arial"/>
        </w:rPr>
        <w:t xml:space="preserve"> or with the Alamut program (Interactive </w:t>
      </w:r>
      <w:proofErr w:type="spellStart"/>
      <w:r w:rsidRPr="00B9698D">
        <w:rPr>
          <w:rFonts w:cs="Arial"/>
        </w:rPr>
        <w:t>Biosoftware</w:t>
      </w:r>
      <w:proofErr w:type="spellEnd"/>
      <w:r w:rsidRPr="00B9698D">
        <w:rPr>
          <w:rFonts w:cs="Arial"/>
        </w:rPr>
        <w:t xml:space="preserve">). </w:t>
      </w:r>
      <w:r>
        <w:rPr>
          <w:rFonts w:cs="Arial"/>
          <w:lang w:val="en-US"/>
        </w:rPr>
        <w:t xml:space="preserve">The identified BS phenotype-related variants were confirmed via Sanger sequencing. </w:t>
      </w:r>
    </w:p>
    <w:p w14:paraId="496687E6" w14:textId="71AB1020" w:rsidR="001E2C55" w:rsidRDefault="001E2C55" w:rsidP="007351D1">
      <w:pPr>
        <w:spacing w:line="480" w:lineRule="auto"/>
        <w:jc w:val="both"/>
        <w:rPr>
          <w:rFonts w:cs="Arial"/>
          <w:lang w:val="en-US"/>
        </w:rPr>
      </w:pPr>
    </w:p>
    <w:p w14:paraId="4A968580" w14:textId="657F0835" w:rsidR="001E2C55" w:rsidRPr="00B50E14" w:rsidRDefault="001E2C55" w:rsidP="007351D1">
      <w:pPr>
        <w:spacing w:line="480" w:lineRule="auto"/>
        <w:jc w:val="both"/>
        <w:rPr>
          <w:rFonts w:cs="Arial"/>
          <w:b/>
          <w:bCs/>
          <w:lang w:val="en-US"/>
        </w:rPr>
      </w:pPr>
      <w:r w:rsidRPr="00B50E14">
        <w:rPr>
          <w:rFonts w:cs="Arial"/>
          <w:b/>
          <w:bCs/>
          <w:lang w:val="en-US"/>
        </w:rPr>
        <w:t>Whole Exome Sequencing</w:t>
      </w:r>
    </w:p>
    <w:p w14:paraId="0BC529F1" w14:textId="19487409" w:rsidR="004D262B" w:rsidRDefault="001E2C55" w:rsidP="007351D1">
      <w:pPr>
        <w:spacing w:line="480" w:lineRule="auto"/>
        <w:jc w:val="both"/>
        <w:rPr>
          <w:rFonts w:cs="Arial"/>
          <w:lang w:val="en-US"/>
        </w:rPr>
      </w:pPr>
      <w:r>
        <w:rPr>
          <w:lang w:val="en-US"/>
        </w:rPr>
        <w:lastRenderedPageBreak/>
        <w:t xml:space="preserve">DNA samples were enriched using </w:t>
      </w:r>
      <w:r w:rsidRPr="009463A0">
        <w:rPr>
          <w:lang w:val="en-US"/>
        </w:rPr>
        <w:t>Ag</w:t>
      </w:r>
      <w:r>
        <w:rPr>
          <w:lang w:val="en-US"/>
        </w:rPr>
        <w:t xml:space="preserve">ilent </w:t>
      </w:r>
      <w:proofErr w:type="spellStart"/>
      <w:r>
        <w:rPr>
          <w:lang w:val="en-US"/>
        </w:rPr>
        <w:t>SureSelect</w:t>
      </w:r>
      <w:proofErr w:type="spellEnd"/>
      <w:r>
        <w:rPr>
          <w:lang w:val="en-US"/>
        </w:rPr>
        <w:t xml:space="preserve"> Human All Exon</w:t>
      </w:r>
      <w:r w:rsidRPr="009463A0">
        <w:rPr>
          <w:lang w:val="en-US"/>
        </w:rPr>
        <w:t>V6 r2 kit</w:t>
      </w:r>
      <w:r>
        <w:rPr>
          <w:lang w:val="en-US"/>
        </w:rPr>
        <w:t xml:space="preserve"> and sequenced</w:t>
      </w:r>
      <w:r w:rsidRPr="009463A0">
        <w:rPr>
          <w:lang w:val="en-US"/>
        </w:rPr>
        <w:t xml:space="preserve"> on an Illumina HiSeq4000 sequencer.</w:t>
      </w:r>
      <w:r>
        <w:rPr>
          <w:lang w:val="en-US"/>
        </w:rPr>
        <w:t xml:space="preserve"> The variants were analyzed using the “</w:t>
      </w:r>
      <w:proofErr w:type="spellStart"/>
      <w:r>
        <w:rPr>
          <w:lang w:val="en-US"/>
        </w:rPr>
        <w:t>Varbank</w:t>
      </w:r>
      <w:proofErr w:type="spellEnd"/>
      <w:r>
        <w:rPr>
          <w:lang w:val="en-US"/>
        </w:rPr>
        <w:t xml:space="preserve">” pipeline from </w:t>
      </w:r>
      <w:r w:rsidRPr="009463A0">
        <w:rPr>
          <w:lang w:val="en-US"/>
        </w:rPr>
        <w:t xml:space="preserve">Cologne Center for Genomics (CCG) </w:t>
      </w:r>
      <w:r>
        <w:rPr>
          <w:lang w:val="en-US"/>
        </w:rPr>
        <w:t>by applying the following filter criteria</w:t>
      </w:r>
      <w:r>
        <w:rPr>
          <w:lang w:val="en-US"/>
        </w:rPr>
        <w:fldChar w:fldCharType="begin" w:fldLock="1"/>
      </w:r>
      <w:r w:rsidR="00B07BC1">
        <w:rPr>
          <w:lang w:val="en-US"/>
        </w:rPr>
        <w:instrText>ADDIN CSL_CITATION {"citationItems":[{"id":"ITEM-1","itemData":{"DOI":"10.1159/000505797","ISSN":"1661-8769","abstract":"Multiple congenital anomalies-hypotonia-seizures syndrome 2 (MCAHS2) is a rare disease caused by mutations in the X chromosomal PIGA gene. Clinically it is characterized by early-onset epilepsy, hypotonia, dysmorphic features, and variable congenital anomalies. PIGA codes for the phosphatidylinositol glycan-class A protein, which forms a subunit of an enzymatic complex involved in glycophosphatidylinositol (GPI) biosynthesis. We present a new case of MCAHS2 and perform a comprehensive review of the available literature to delineate the phenotypical traits associated with germline PIGA mutations. Furthermore, we provide functional evidence of pathogenicity of the novel missense mutation, c.154C&gt;T; (p.His52Tyr), in the PIGA gene causative of MCAHS2 in our patient. By flow cytometry, we observed reduced expression of GPI-anchored surface proteins in patient granulocytes compared to control samples, proving GPI-biogenesis impairment. The patient's severe epilepsy with several daily attacks was refractory to treatment, but the frequency of seizures reduced temporarily under triple therapy with perampanel, rufinamide and vigabatrin. Our study delineates the known MCAHS2 phenotype and discusses challenges of diagnosis and clinical management in this complex, rare disease. Furthermore, we present a novel mutation with functional evidence of pathogenicity.","author":[{"dropping-particle":"","family":"Neuhofer","given":"C M","non-dropping-particle":"","parse-names":false,"suffix":""},{"dropping-particle":"","family":"Funke","given":"R","non-dropping-particle":"","parse-names":false,"suffix":""},{"dropping-particle":"","family":"Wilken","given":"B","non-dropping-particle":"","parse-names":false,"suffix":""},{"dropping-particle":"","family":"Knaus","given":"A","non-dropping-particle":"","parse-names":false,"suffix":""},{"dropping-particle":"","family":"Altmüller","given":"J","non-dropping-particle":"","parse-names":false,"suffix":""},{"dropping-particle":"","family":"Nürnberg","given":"P","non-dropping-particle":"","parse-names":false,"suffix":""},{"dropping-particle":"","family":"Li","given":"Y","non-dropping-particle":"","parse-names":false,"suffix":""},{"dropping-particle":"","family":"Wollnik","given":"B","non-dropping-particle":"","parse-names":false,"suffix":""},{"dropping-particle":"","family":"Burfeind","given":"P","non-dropping-particle":"","parse-names":false,"suffix":""},{"dropping-particle":"","family":"Pauli","given":"S","non-dropping-particle":"","parse-names":false,"suffix":""}],"container-title":"Molecular Syndromology","id":"ITEM-1","issue":"1","issued":{"date-parts":[["2020"]]},"page":"30-37","title":"A Novel Mutation in PIGA Associated with Multiple Congenital Anomalies-Hypotonia-Seizure Syndrome 2 (MCAHS2) in a Boy with a Combination of Severe Epilepsy and Gingival Hyperplasia","type":"article-journal","volume":"11"},"uris":["http://www.mendeley.com/documents/?uuid=946f8f8a-c493-4931-b699-8920507015ab"]}],"mendeley":{"formattedCitation":"&lt;sup&gt;4&lt;/sup&gt;","plainTextFormattedCitation":"4","previouslyFormattedCitation":"&lt;sup&gt;4&lt;/sup&gt;"},"properties":{"noteIndex":0},"schema":"https://github.com/citation-style-language/schema/raw/master/csl-citation.json"}</w:instrText>
      </w:r>
      <w:r>
        <w:rPr>
          <w:lang w:val="en-US"/>
        </w:rPr>
        <w:fldChar w:fldCharType="separate"/>
      </w:r>
      <w:r w:rsidR="00B07BC1" w:rsidRPr="00B07BC1">
        <w:rPr>
          <w:noProof/>
          <w:vertAlign w:val="superscript"/>
          <w:lang w:val="en-US"/>
        </w:rPr>
        <w:t>4</w:t>
      </w:r>
      <w:r>
        <w:rPr>
          <w:lang w:val="en-US"/>
        </w:rPr>
        <w:fldChar w:fldCharType="end"/>
      </w:r>
      <w:r w:rsidRPr="009463A0">
        <w:rPr>
          <w:lang w:val="en-US"/>
        </w:rPr>
        <w:t xml:space="preserve">: </w:t>
      </w:r>
      <w:r>
        <w:rPr>
          <w:lang w:val="en-US"/>
        </w:rPr>
        <w:t xml:space="preserve">coverage of &gt;6 </w:t>
      </w:r>
      <w:r w:rsidRPr="009463A0">
        <w:rPr>
          <w:lang w:val="en-US"/>
        </w:rPr>
        <w:t>reads,</w:t>
      </w:r>
      <w:r>
        <w:rPr>
          <w:lang w:val="en-US"/>
        </w:rPr>
        <w:t xml:space="preserve"> </w:t>
      </w:r>
      <w:r w:rsidRPr="009463A0">
        <w:rPr>
          <w:lang w:val="en-US"/>
        </w:rPr>
        <w:t>quality sco</w:t>
      </w:r>
      <w:r>
        <w:rPr>
          <w:lang w:val="en-US"/>
        </w:rPr>
        <w:t>re of &gt;10, allele frequency  ≥2</w:t>
      </w:r>
      <w:r w:rsidRPr="009463A0">
        <w:rPr>
          <w:lang w:val="en-US"/>
        </w:rPr>
        <w:t xml:space="preserve">5%, and a minor allele frequency &lt;0.1% in the </w:t>
      </w:r>
      <w:r w:rsidRPr="005616B4">
        <w:rPr>
          <w:lang w:val="en-US"/>
        </w:rPr>
        <w:t>1000</w:t>
      </w:r>
      <w:r>
        <w:rPr>
          <w:lang w:val="en-US"/>
        </w:rPr>
        <w:t>G</w:t>
      </w:r>
      <w:r w:rsidRPr="005616B4">
        <w:rPr>
          <w:lang w:val="en-US"/>
        </w:rPr>
        <w:t>enomes database and the Exome Variant Server (EVS; NHLBI Exome Sequencing Project).</w:t>
      </w:r>
    </w:p>
    <w:p w14:paraId="6A18367A" w14:textId="08F67AB0" w:rsidR="004D262B" w:rsidRDefault="004D262B" w:rsidP="007351D1">
      <w:pPr>
        <w:spacing w:line="480" w:lineRule="auto"/>
        <w:jc w:val="both"/>
        <w:rPr>
          <w:rFonts w:cs="Arial"/>
          <w:lang w:val="en-US"/>
        </w:rPr>
      </w:pPr>
      <w:r>
        <w:rPr>
          <w:rFonts w:cs="Arial"/>
          <w:lang w:val="en-US"/>
        </w:rPr>
        <w:t xml:space="preserve"> </w:t>
      </w:r>
    </w:p>
    <w:p w14:paraId="71E2351A" w14:textId="3A9F1728" w:rsidR="004D262B" w:rsidRPr="00B50E14" w:rsidRDefault="004D262B" w:rsidP="007351D1">
      <w:pPr>
        <w:spacing w:line="480" w:lineRule="auto"/>
        <w:jc w:val="both"/>
        <w:rPr>
          <w:rFonts w:cs="Arial"/>
          <w:b/>
          <w:bCs/>
          <w:lang w:val="en-US"/>
        </w:rPr>
      </w:pPr>
      <w:r w:rsidRPr="00B50E14">
        <w:rPr>
          <w:rFonts w:cs="Arial"/>
          <w:b/>
          <w:bCs/>
          <w:lang w:val="en-US"/>
        </w:rPr>
        <w:t>R</w:t>
      </w:r>
      <w:r w:rsidR="00B07BC1" w:rsidRPr="00B50E14">
        <w:rPr>
          <w:rFonts w:cs="Arial"/>
          <w:b/>
          <w:bCs/>
          <w:lang w:val="en-US"/>
        </w:rPr>
        <w:t>eferences</w:t>
      </w:r>
    </w:p>
    <w:p w14:paraId="5294A98F" w14:textId="2BB363CF" w:rsidR="00B07BC1" w:rsidRPr="00B07BC1" w:rsidRDefault="00B07BC1" w:rsidP="00B07BC1">
      <w:pPr>
        <w:widowControl w:val="0"/>
        <w:autoSpaceDE w:val="0"/>
        <w:autoSpaceDN w:val="0"/>
        <w:adjustRightInd w:val="0"/>
        <w:spacing w:line="480" w:lineRule="auto"/>
        <w:ind w:left="640" w:hanging="640"/>
        <w:rPr>
          <w:rFonts w:cs="Arial"/>
          <w:noProof/>
        </w:rPr>
      </w:pPr>
      <w:r>
        <w:rPr>
          <w:rFonts w:cs="Arial"/>
          <w:lang w:val="en-US"/>
        </w:rPr>
        <w:fldChar w:fldCharType="begin" w:fldLock="1"/>
      </w:r>
      <w:r w:rsidRPr="00B50E14">
        <w:rPr>
          <w:rFonts w:cs="Arial"/>
          <w:lang w:val="en-US"/>
        </w:rPr>
        <w:instrText xml:space="preserve">ADDIN Mendeley Bibliography CSL_BIBLIOGRAPHY </w:instrText>
      </w:r>
      <w:r>
        <w:rPr>
          <w:rFonts w:cs="Arial"/>
          <w:lang w:val="en-US"/>
        </w:rPr>
        <w:fldChar w:fldCharType="separate"/>
      </w:r>
      <w:r w:rsidRPr="00B50E14">
        <w:rPr>
          <w:rFonts w:cs="Arial"/>
          <w:noProof/>
          <w:lang w:val="en-US"/>
        </w:rPr>
        <w:t xml:space="preserve">1. </w:t>
      </w:r>
      <w:r w:rsidRPr="00B50E14">
        <w:rPr>
          <w:rFonts w:cs="Arial"/>
          <w:noProof/>
          <w:lang w:val="en-US"/>
        </w:rPr>
        <w:tab/>
        <w:t xml:space="preserve">Sim N-L, Kumar P, Hu J, Henikoff S, Schneider G, Ng PC. </w:t>
      </w:r>
      <w:r w:rsidRPr="00B07BC1">
        <w:rPr>
          <w:rFonts w:cs="Arial"/>
          <w:noProof/>
        </w:rPr>
        <w:t xml:space="preserve">SIFT web server: predicting effects of amino acid substitutions on proteins. </w:t>
      </w:r>
      <w:r w:rsidRPr="00B07BC1">
        <w:rPr>
          <w:rFonts w:cs="Arial"/>
          <w:i/>
          <w:iCs/>
          <w:noProof/>
        </w:rPr>
        <w:t>Nucleic Acids Res</w:t>
      </w:r>
      <w:r w:rsidRPr="00B07BC1">
        <w:rPr>
          <w:rFonts w:cs="Arial"/>
          <w:noProof/>
        </w:rPr>
        <w:t>. 2012;40(W1):W452-W457. doi:10.1093/nar/gks539</w:t>
      </w:r>
    </w:p>
    <w:p w14:paraId="2C39B28F" w14:textId="77777777" w:rsidR="00B07BC1" w:rsidRPr="00B07BC1" w:rsidRDefault="00B07BC1" w:rsidP="00B07BC1">
      <w:pPr>
        <w:widowControl w:val="0"/>
        <w:autoSpaceDE w:val="0"/>
        <w:autoSpaceDN w:val="0"/>
        <w:adjustRightInd w:val="0"/>
        <w:spacing w:line="480" w:lineRule="auto"/>
        <w:ind w:left="640" w:hanging="640"/>
        <w:rPr>
          <w:rFonts w:cs="Arial"/>
          <w:noProof/>
        </w:rPr>
      </w:pPr>
      <w:r w:rsidRPr="00B07BC1">
        <w:rPr>
          <w:rFonts w:cs="Arial"/>
          <w:noProof/>
        </w:rPr>
        <w:t xml:space="preserve">2. </w:t>
      </w:r>
      <w:r w:rsidRPr="00B07BC1">
        <w:rPr>
          <w:rFonts w:cs="Arial"/>
          <w:noProof/>
        </w:rPr>
        <w:tab/>
        <w:t xml:space="preserve">Schwarz JM, Cooper DN, Schuelke M, Seelow D. MutationTaster2: mutation prediction for the deep-sequencing age. </w:t>
      </w:r>
      <w:r w:rsidRPr="00B07BC1">
        <w:rPr>
          <w:rFonts w:cs="Arial"/>
          <w:i/>
          <w:iCs/>
          <w:noProof/>
        </w:rPr>
        <w:t>Nat Methods</w:t>
      </w:r>
      <w:r w:rsidRPr="00B07BC1">
        <w:rPr>
          <w:rFonts w:cs="Arial"/>
          <w:noProof/>
        </w:rPr>
        <w:t>. 2014;11(4):361-362. doi:10.1038/nmeth.2890</w:t>
      </w:r>
    </w:p>
    <w:p w14:paraId="3C83E919" w14:textId="77777777" w:rsidR="00B07BC1" w:rsidRPr="00B50E14" w:rsidRDefault="00B07BC1" w:rsidP="00B07BC1">
      <w:pPr>
        <w:widowControl w:val="0"/>
        <w:autoSpaceDE w:val="0"/>
        <w:autoSpaceDN w:val="0"/>
        <w:adjustRightInd w:val="0"/>
        <w:spacing w:line="480" w:lineRule="auto"/>
        <w:ind w:left="640" w:hanging="640"/>
        <w:rPr>
          <w:rFonts w:cs="Arial"/>
          <w:noProof/>
          <w:lang w:val="de-DE"/>
        </w:rPr>
      </w:pPr>
      <w:r w:rsidRPr="00B50E14">
        <w:rPr>
          <w:rFonts w:cs="Arial"/>
          <w:noProof/>
          <w:lang w:val="en-US"/>
        </w:rPr>
        <w:t xml:space="preserve">3. </w:t>
      </w:r>
      <w:r w:rsidRPr="00B50E14">
        <w:rPr>
          <w:rFonts w:cs="Arial"/>
          <w:noProof/>
          <w:lang w:val="en-US"/>
        </w:rPr>
        <w:tab/>
        <w:t xml:space="preserve">Adzhubei IA, Schmidt S, Peshkin L, et al. </w:t>
      </w:r>
      <w:r w:rsidRPr="00B07BC1">
        <w:rPr>
          <w:rFonts w:cs="Arial"/>
          <w:noProof/>
        </w:rPr>
        <w:t xml:space="preserve">A method and server for predicting damaging missense mutations. </w:t>
      </w:r>
      <w:r w:rsidRPr="00B50E14">
        <w:rPr>
          <w:rFonts w:cs="Arial"/>
          <w:i/>
          <w:iCs/>
          <w:noProof/>
          <w:lang w:val="de-DE"/>
        </w:rPr>
        <w:t>Nat Methods</w:t>
      </w:r>
      <w:r w:rsidRPr="00B50E14">
        <w:rPr>
          <w:rFonts w:cs="Arial"/>
          <w:noProof/>
          <w:lang w:val="de-DE"/>
        </w:rPr>
        <w:t>. 2010;7(4):248-249. doi:10.1038/nmeth0410-248</w:t>
      </w:r>
    </w:p>
    <w:p w14:paraId="2B92330F" w14:textId="77777777" w:rsidR="00B07BC1" w:rsidRPr="00B07BC1" w:rsidRDefault="00B07BC1" w:rsidP="00B07BC1">
      <w:pPr>
        <w:widowControl w:val="0"/>
        <w:autoSpaceDE w:val="0"/>
        <w:autoSpaceDN w:val="0"/>
        <w:adjustRightInd w:val="0"/>
        <w:spacing w:line="480" w:lineRule="auto"/>
        <w:ind w:left="640" w:hanging="640"/>
        <w:rPr>
          <w:rFonts w:cs="Arial"/>
          <w:noProof/>
        </w:rPr>
      </w:pPr>
      <w:r w:rsidRPr="00B50E14">
        <w:rPr>
          <w:rFonts w:cs="Arial"/>
          <w:noProof/>
          <w:lang w:val="de-DE"/>
        </w:rPr>
        <w:t xml:space="preserve">4. </w:t>
      </w:r>
      <w:r w:rsidRPr="00B50E14">
        <w:rPr>
          <w:rFonts w:cs="Arial"/>
          <w:noProof/>
          <w:lang w:val="de-DE"/>
        </w:rPr>
        <w:tab/>
        <w:t xml:space="preserve">Neuhofer CM, Funke R, Wilken B, et al. </w:t>
      </w:r>
      <w:r w:rsidRPr="00B07BC1">
        <w:rPr>
          <w:rFonts w:cs="Arial"/>
          <w:noProof/>
        </w:rPr>
        <w:t xml:space="preserve">A Novel Mutation in PIGA Associated with Multiple Congenital Anomalies-Hypotonia-Seizure Syndrome 2 (MCAHS2) in a Boy with a Combination of Severe Epilepsy and Gingival Hyperplasia. </w:t>
      </w:r>
      <w:r w:rsidRPr="00B07BC1">
        <w:rPr>
          <w:rFonts w:cs="Arial"/>
          <w:i/>
          <w:iCs/>
          <w:noProof/>
        </w:rPr>
        <w:t>Mol Syndromol</w:t>
      </w:r>
      <w:r w:rsidRPr="00B07BC1">
        <w:rPr>
          <w:rFonts w:cs="Arial"/>
          <w:noProof/>
        </w:rPr>
        <w:t>. 2020;11(1):30-37. doi:10.1159/000505797</w:t>
      </w:r>
    </w:p>
    <w:p w14:paraId="04481F71" w14:textId="2DCDBE4E" w:rsidR="008471AF" w:rsidRDefault="00B07BC1" w:rsidP="007351D1">
      <w:pPr>
        <w:spacing w:line="480" w:lineRule="auto"/>
        <w:jc w:val="both"/>
        <w:rPr>
          <w:rFonts w:cs="Arial"/>
          <w:lang w:val="en-US"/>
        </w:rPr>
      </w:pPr>
      <w:r>
        <w:rPr>
          <w:rFonts w:cs="Arial"/>
          <w:lang w:val="en-US"/>
        </w:rPr>
        <w:fldChar w:fldCharType="end"/>
      </w:r>
      <w:r w:rsidR="008471AF">
        <w:rPr>
          <w:rFonts w:cs="Arial"/>
          <w:lang w:val="en-US"/>
        </w:rPr>
        <w:br w:type="page"/>
      </w:r>
    </w:p>
    <w:p w14:paraId="490A7FB1" w14:textId="77777777" w:rsidR="00B07BC1" w:rsidRDefault="00B07BC1" w:rsidP="007351D1">
      <w:pPr>
        <w:spacing w:line="480" w:lineRule="auto"/>
        <w:jc w:val="both"/>
        <w:rPr>
          <w:rFonts w:cs="Arial"/>
          <w:lang w:val="en-US"/>
        </w:rPr>
      </w:pPr>
    </w:p>
    <w:p w14:paraId="4FCFCE12" w14:textId="20B9DB0C" w:rsidR="00A715AD" w:rsidRDefault="00A715AD" w:rsidP="007351D1">
      <w:pPr>
        <w:spacing w:line="480" w:lineRule="auto"/>
        <w:jc w:val="both"/>
        <w:rPr>
          <w:rFonts w:cs="Arial"/>
          <w:lang w:val="en-US"/>
        </w:rPr>
      </w:pPr>
    </w:p>
    <w:tbl>
      <w:tblPr>
        <w:tblStyle w:val="Gitternetztabelle2Akzent3"/>
        <w:tblW w:w="8921" w:type="dxa"/>
        <w:tblLayout w:type="fixed"/>
        <w:tblLook w:val="04A0" w:firstRow="1" w:lastRow="0" w:firstColumn="1" w:lastColumn="0" w:noHBand="0" w:noVBand="1"/>
      </w:tblPr>
      <w:tblGrid>
        <w:gridCol w:w="1486"/>
        <w:gridCol w:w="1487"/>
        <w:gridCol w:w="1487"/>
        <w:gridCol w:w="1487"/>
        <w:gridCol w:w="1487"/>
        <w:gridCol w:w="1487"/>
      </w:tblGrid>
      <w:tr w:rsidR="00A715AD" w:rsidRPr="00D87242" w14:paraId="3256508C" w14:textId="77777777" w:rsidTr="001B1E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21" w:type="dxa"/>
            <w:gridSpan w:val="6"/>
            <w:shd w:val="clear" w:color="auto" w:fill="auto"/>
            <w:noWrap/>
          </w:tcPr>
          <w:p w14:paraId="2F1ACDCF" w14:textId="6F4939A7" w:rsidR="00A715AD" w:rsidRPr="00B50E14" w:rsidRDefault="00A715AD" w:rsidP="006361AF">
            <w:pPr>
              <w:rPr>
                <w:rFonts w:eastAsia="Times New Roman" w:cs="Arial"/>
                <w:color w:val="000000"/>
                <w:sz w:val="22"/>
                <w:szCs w:val="22"/>
                <w:lang w:eastAsia="en-GB"/>
              </w:rPr>
            </w:pPr>
            <w:r w:rsidRPr="00B50E14">
              <w:rPr>
                <w:rFonts w:cs="Arial"/>
                <w:sz w:val="22"/>
                <w:szCs w:val="22"/>
                <w:lang w:val="en-US"/>
              </w:rPr>
              <w:t xml:space="preserve">Supplementary Table 1. </w:t>
            </w:r>
            <w:r w:rsidRPr="00B50E14">
              <w:rPr>
                <w:rFonts w:eastAsia="Times New Roman" w:cs="Arial"/>
                <w:color w:val="000000"/>
                <w:sz w:val="22"/>
                <w:szCs w:val="22"/>
                <w:lang w:eastAsia="en-GB"/>
              </w:rPr>
              <w:t>List of genes of the BS/microcephaly multigene</w:t>
            </w:r>
            <w:r w:rsidRPr="00B50E14">
              <w:rPr>
                <w:rFonts w:eastAsia="Times New Roman" w:cs="Arial"/>
                <w:color w:val="000000"/>
                <w:sz w:val="22"/>
                <w:szCs w:val="22"/>
                <w:lang w:val="tr-TR" w:eastAsia="en-GB"/>
              </w:rPr>
              <w:t xml:space="preserve"> </w:t>
            </w:r>
            <w:r w:rsidRPr="00B50E14">
              <w:rPr>
                <w:rFonts w:eastAsia="Times New Roman" w:cs="Arial"/>
                <w:color w:val="000000"/>
                <w:sz w:val="22"/>
                <w:szCs w:val="22"/>
                <w:lang w:eastAsia="en-GB"/>
              </w:rPr>
              <w:t>panel.</w:t>
            </w:r>
          </w:p>
        </w:tc>
      </w:tr>
      <w:tr w:rsidR="00A715AD" w:rsidRPr="00D87242" w14:paraId="14A7EA5D"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3FD9C734" w14:textId="77777777" w:rsidR="00A715AD" w:rsidRPr="00D87242" w:rsidRDefault="00A715AD" w:rsidP="006361AF">
            <w:pPr>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Gene </w:t>
            </w:r>
          </w:p>
        </w:tc>
        <w:tc>
          <w:tcPr>
            <w:tcW w:w="1487" w:type="dxa"/>
            <w:shd w:val="clear" w:color="auto" w:fill="auto"/>
            <w:noWrap/>
            <w:hideMark/>
          </w:tcPr>
          <w:p w14:paraId="20BBF5F3"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2"/>
                <w:lang w:eastAsia="en-GB"/>
              </w:rPr>
            </w:pPr>
            <w:r w:rsidRPr="00D87242">
              <w:rPr>
                <w:rFonts w:ascii="Calibri" w:eastAsia="Times New Roman" w:hAnsi="Calibri" w:cs="Calibri"/>
                <w:b/>
                <w:bCs/>
                <w:color w:val="000000"/>
                <w:szCs w:val="22"/>
                <w:lang w:eastAsia="en-GB"/>
              </w:rPr>
              <w:t>Location</w:t>
            </w:r>
          </w:p>
        </w:tc>
        <w:tc>
          <w:tcPr>
            <w:tcW w:w="1487" w:type="dxa"/>
            <w:shd w:val="clear" w:color="auto" w:fill="auto"/>
            <w:noWrap/>
            <w:hideMark/>
          </w:tcPr>
          <w:p w14:paraId="65D73FD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2"/>
                <w:lang w:eastAsia="en-GB"/>
              </w:rPr>
            </w:pPr>
            <w:r w:rsidRPr="00D87242">
              <w:rPr>
                <w:rFonts w:ascii="Calibri" w:eastAsia="Times New Roman" w:hAnsi="Calibri" w:cs="Calibri"/>
                <w:b/>
                <w:bCs/>
                <w:color w:val="000000"/>
                <w:szCs w:val="22"/>
                <w:lang w:eastAsia="en-GB"/>
              </w:rPr>
              <w:t xml:space="preserve">Gene </w:t>
            </w:r>
          </w:p>
        </w:tc>
        <w:tc>
          <w:tcPr>
            <w:tcW w:w="1487" w:type="dxa"/>
            <w:shd w:val="clear" w:color="auto" w:fill="auto"/>
            <w:noWrap/>
            <w:hideMark/>
          </w:tcPr>
          <w:p w14:paraId="0DBA2AA0"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2"/>
                <w:lang w:eastAsia="en-GB"/>
              </w:rPr>
            </w:pPr>
            <w:r w:rsidRPr="00D87242">
              <w:rPr>
                <w:rFonts w:ascii="Calibri" w:eastAsia="Times New Roman" w:hAnsi="Calibri" w:cs="Calibri"/>
                <w:b/>
                <w:bCs/>
                <w:color w:val="000000"/>
                <w:szCs w:val="22"/>
                <w:lang w:eastAsia="en-GB"/>
              </w:rPr>
              <w:t>Location</w:t>
            </w:r>
          </w:p>
        </w:tc>
        <w:tc>
          <w:tcPr>
            <w:tcW w:w="1487" w:type="dxa"/>
            <w:shd w:val="clear" w:color="auto" w:fill="auto"/>
            <w:noWrap/>
            <w:hideMark/>
          </w:tcPr>
          <w:p w14:paraId="3A020315"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2"/>
                <w:lang w:eastAsia="en-GB"/>
              </w:rPr>
            </w:pPr>
            <w:r w:rsidRPr="00D87242">
              <w:rPr>
                <w:rFonts w:ascii="Calibri" w:eastAsia="Times New Roman" w:hAnsi="Calibri" w:cs="Calibri"/>
                <w:b/>
                <w:bCs/>
                <w:color w:val="000000"/>
                <w:szCs w:val="22"/>
                <w:lang w:eastAsia="en-GB"/>
              </w:rPr>
              <w:t xml:space="preserve">Gene </w:t>
            </w:r>
          </w:p>
        </w:tc>
        <w:tc>
          <w:tcPr>
            <w:tcW w:w="1487" w:type="dxa"/>
            <w:shd w:val="clear" w:color="auto" w:fill="auto"/>
            <w:noWrap/>
            <w:hideMark/>
          </w:tcPr>
          <w:p w14:paraId="7A3D16FD"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2"/>
                <w:lang w:eastAsia="en-GB"/>
              </w:rPr>
            </w:pPr>
            <w:r w:rsidRPr="00D87242">
              <w:rPr>
                <w:rFonts w:ascii="Calibri" w:eastAsia="Times New Roman" w:hAnsi="Calibri" w:cs="Calibri"/>
                <w:b/>
                <w:bCs/>
                <w:color w:val="000000"/>
                <w:szCs w:val="22"/>
                <w:lang w:eastAsia="en-GB"/>
              </w:rPr>
              <w:t>Location</w:t>
            </w:r>
          </w:p>
        </w:tc>
      </w:tr>
      <w:tr w:rsidR="00A715AD" w:rsidRPr="00D87242" w14:paraId="56C22EA2"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08D6AE68"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ANKLE2 </w:t>
            </w:r>
          </w:p>
        </w:tc>
        <w:tc>
          <w:tcPr>
            <w:tcW w:w="1487" w:type="dxa"/>
            <w:shd w:val="clear" w:color="auto" w:fill="auto"/>
            <w:noWrap/>
            <w:hideMark/>
          </w:tcPr>
          <w:p w14:paraId="2EED7D3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12q24.33</w:t>
            </w:r>
          </w:p>
        </w:tc>
        <w:tc>
          <w:tcPr>
            <w:tcW w:w="1487" w:type="dxa"/>
            <w:shd w:val="clear" w:color="auto" w:fill="auto"/>
            <w:noWrap/>
            <w:hideMark/>
          </w:tcPr>
          <w:p w14:paraId="67EA3C23"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ERCC2</w:t>
            </w:r>
          </w:p>
        </w:tc>
        <w:tc>
          <w:tcPr>
            <w:tcW w:w="1487" w:type="dxa"/>
            <w:shd w:val="clear" w:color="auto" w:fill="auto"/>
            <w:noWrap/>
            <w:hideMark/>
          </w:tcPr>
          <w:p w14:paraId="201206A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19q13.32</w:t>
            </w:r>
          </w:p>
        </w:tc>
        <w:tc>
          <w:tcPr>
            <w:tcW w:w="1487" w:type="dxa"/>
            <w:shd w:val="clear" w:color="auto" w:fill="auto"/>
            <w:noWrap/>
            <w:hideMark/>
          </w:tcPr>
          <w:p w14:paraId="6E95D269"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PAFAH1B1 (LIS1)</w:t>
            </w:r>
          </w:p>
        </w:tc>
        <w:tc>
          <w:tcPr>
            <w:tcW w:w="1487" w:type="dxa"/>
            <w:shd w:val="clear" w:color="auto" w:fill="auto"/>
            <w:noWrap/>
            <w:hideMark/>
          </w:tcPr>
          <w:p w14:paraId="04B60A9F"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17p13.3</w:t>
            </w:r>
          </w:p>
        </w:tc>
      </w:tr>
      <w:tr w:rsidR="00A715AD" w:rsidRPr="00D87242" w14:paraId="6923BC1C"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7283D185"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ARX </w:t>
            </w:r>
          </w:p>
        </w:tc>
        <w:tc>
          <w:tcPr>
            <w:tcW w:w="1487" w:type="dxa"/>
            <w:shd w:val="clear" w:color="auto" w:fill="auto"/>
            <w:noWrap/>
            <w:hideMark/>
          </w:tcPr>
          <w:p w14:paraId="4609BEE5"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Xp21.3</w:t>
            </w:r>
          </w:p>
        </w:tc>
        <w:tc>
          <w:tcPr>
            <w:tcW w:w="1487" w:type="dxa"/>
            <w:shd w:val="clear" w:color="auto" w:fill="auto"/>
            <w:noWrap/>
            <w:hideMark/>
          </w:tcPr>
          <w:p w14:paraId="7EED4076"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ERCC4 </w:t>
            </w:r>
          </w:p>
        </w:tc>
        <w:tc>
          <w:tcPr>
            <w:tcW w:w="1487" w:type="dxa"/>
            <w:shd w:val="clear" w:color="auto" w:fill="auto"/>
            <w:noWrap/>
            <w:hideMark/>
          </w:tcPr>
          <w:p w14:paraId="6ECEF6E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16p13.12</w:t>
            </w:r>
          </w:p>
        </w:tc>
        <w:tc>
          <w:tcPr>
            <w:tcW w:w="1487" w:type="dxa"/>
            <w:shd w:val="clear" w:color="auto" w:fill="auto"/>
            <w:noWrap/>
            <w:hideMark/>
          </w:tcPr>
          <w:p w14:paraId="14E429A2"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PALB2 </w:t>
            </w:r>
          </w:p>
        </w:tc>
        <w:tc>
          <w:tcPr>
            <w:tcW w:w="1487" w:type="dxa"/>
            <w:shd w:val="clear" w:color="auto" w:fill="auto"/>
            <w:noWrap/>
            <w:hideMark/>
          </w:tcPr>
          <w:p w14:paraId="101DFA9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16p12.2</w:t>
            </w:r>
          </w:p>
        </w:tc>
      </w:tr>
      <w:tr w:rsidR="00A715AD" w:rsidRPr="00D87242" w14:paraId="398DD6AA"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1AF47A08"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ASPM </w:t>
            </w:r>
          </w:p>
        </w:tc>
        <w:tc>
          <w:tcPr>
            <w:tcW w:w="1487" w:type="dxa"/>
            <w:shd w:val="clear" w:color="auto" w:fill="auto"/>
            <w:noWrap/>
            <w:hideMark/>
          </w:tcPr>
          <w:p w14:paraId="2FFA420D"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1q31.3</w:t>
            </w:r>
          </w:p>
        </w:tc>
        <w:tc>
          <w:tcPr>
            <w:tcW w:w="1487" w:type="dxa"/>
            <w:shd w:val="clear" w:color="auto" w:fill="auto"/>
            <w:noWrap/>
            <w:hideMark/>
          </w:tcPr>
          <w:p w14:paraId="2EC4A897"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ERCC5</w:t>
            </w:r>
          </w:p>
        </w:tc>
        <w:tc>
          <w:tcPr>
            <w:tcW w:w="1487" w:type="dxa"/>
            <w:shd w:val="clear" w:color="auto" w:fill="auto"/>
            <w:noWrap/>
            <w:hideMark/>
          </w:tcPr>
          <w:p w14:paraId="498487B7"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13q33.1</w:t>
            </w:r>
          </w:p>
        </w:tc>
        <w:tc>
          <w:tcPr>
            <w:tcW w:w="1487" w:type="dxa"/>
            <w:shd w:val="clear" w:color="auto" w:fill="auto"/>
            <w:noWrap/>
            <w:hideMark/>
          </w:tcPr>
          <w:p w14:paraId="7C574FAB"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PCNA</w:t>
            </w:r>
          </w:p>
        </w:tc>
        <w:tc>
          <w:tcPr>
            <w:tcW w:w="1487" w:type="dxa"/>
            <w:shd w:val="clear" w:color="auto" w:fill="auto"/>
            <w:noWrap/>
            <w:hideMark/>
          </w:tcPr>
          <w:p w14:paraId="3C984B4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20p12.3</w:t>
            </w:r>
          </w:p>
        </w:tc>
      </w:tr>
      <w:tr w:rsidR="00A715AD" w:rsidRPr="00D87242" w14:paraId="54729125"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1170FDBE"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ATR </w:t>
            </w:r>
          </w:p>
        </w:tc>
        <w:tc>
          <w:tcPr>
            <w:tcW w:w="1487" w:type="dxa"/>
            <w:shd w:val="clear" w:color="auto" w:fill="auto"/>
            <w:noWrap/>
            <w:hideMark/>
          </w:tcPr>
          <w:p w14:paraId="36C32E87"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3q23</w:t>
            </w:r>
          </w:p>
        </w:tc>
        <w:tc>
          <w:tcPr>
            <w:tcW w:w="1487" w:type="dxa"/>
            <w:shd w:val="clear" w:color="auto" w:fill="auto"/>
            <w:noWrap/>
            <w:hideMark/>
          </w:tcPr>
          <w:p w14:paraId="78DCB5F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ERCC6</w:t>
            </w:r>
          </w:p>
        </w:tc>
        <w:tc>
          <w:tcPr>
            <w:tcW w:w="1487" w:type="dxa"/>
            <w:shd w:val="clear" w:color="auto" w:fill="auto"/>
            <w:noWrap/>
            <w:hideMark/>
          </w:tcPr>
          <w:p w14:paraId="463E15D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10q11.23</w:t>
            </w:r>
          </w:p>
        </w:tc>
        <w:tc>
          <w:tcPr>
            <w:tcW w:w="1487" w:type="dxa"/>
            <w:shd w:val="clear" w:color="auto" w:fill="auto"/>
            <w:noWrap/>
            <w:hideMark/>
          </w:tcPr>
          <w:p w14:paraId="56D94AE6"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PCNT</w:t>
            </w:r>
          </w:p>
        </w:tc>
        <w:tc>
          <w:tcPr>
            <w:tcW w:w="1487" w:type="dxa"/>
            <w:shd w:val="clear" w:color="auto" w:fill="auto"/>
            <w:noWrap/>
            <w:hideMark/>
          </w:tcPr>
          <w:p w14:paraId="691B3950"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21q22.3 </w:t>
            </w:r>
          </w:p>
        </w:tc>
      </w:tr>
      <w:tr w:rsidR="00A715AD" w:rsidRPr="00D87242" w14:paraId="194B38FA"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A372589"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ATRIP</w:t>
            </w:r>
          </w:p>
        </w:tc>
        <w:tc>
          <w:tcPr>
            <w:tcW w:w="1487" w:type="dxa"/>
            <w:shd w:val="clear" w:color="auto" w:fill="auto"/>
            <w:noWrap/>
            <w:hideMark/>
          </w:tcPr>
          <w:p w14:paraId="40A7E497"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3p21.31</w:t>
            </w:r>
          </w:p>
        </w:tc>
        <w:tc>
          <w:tcPr>
            <w:tcW w:w="1487" w:type="dxa"/>
            <w:shd w:val="clear" w:color="auto" w:fill="auto"/>
            <w:noWrap/>
            <w:hideMark/>
          </w:tcPr>
          <w:p w14:paraId="03F95D4F"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ERCC6</w:t>
            </w:r>
          </w:p>
        </w:tc>
        <w:tc>
          <w:tcPr>
            <w:tcW w:w="1487" w:type="dxa"/>
            <w:shd w:val="clear" w:color="auto" w:fill="auto"/>
            <w:noWrap/>
            <w:hideMark/>
          </w:tcPr>
          <w:p w14:paraId="107D5B1F"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10q11.23</w:t>
            </w:r>
          </w:p>
        </w:tc>
        <w:tc>
          <w:tcPr>
            <w:tcW w:w="1487" w:type="dxa"/>
            <w:shd w:val="clear" w:color="auto" w:fill="auto"/>
            <w:noWrap/>
            <w:hideMark/>
          </w:tcPr>
          <w:p w14:paraId="341D6950"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PHC1 </w:t>
            </w:r>
          </w:p>
        </w:tc>
        <w:tc>
          <w:tcPr>
            <w:tcW w:w="1487" w:type="dxa"/>
            <w:shd w:val="clear" w:color="auto" w:fill="auto"/>
            <w:noWrap/>
            <w:hideMark/>
          </w:tcPr>
          <w:p w14:paraId="675DEC9D"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12p13.31</w:t>
            </w:r>
          </w:p>
        </w:tc>
      </w:tr>
      <w:tr w:rsidR="00A715AD" w:rsidRPr="00D87242" w14:paraId="5EF8F9F1"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75D57E8C"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lastRenderedPageBreak/>
              <w:t>B9D1</w:t>
            </w:r>
          </w:p>
        </w:tc>
        <w:tc>
          <w:tcPr>
            <w:tcW w:w="1487" w:type="dxa"/>
            <w:shd w:val="clear" w:color="auto" w:fill="auto"/>
            <w:noWrap/>
            <w:hideMark/>
          </w:tcPr>
          <w:p w14:paraId="1A64B5C0"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17p11.2</w:t>
            </w:r>
          </w:p>
        </w:tc>
        <w:tc>
          <w:tcPr>
            <w:tcW w:w="1487" w:type="dxa"/>
            <w:shd w:val="clear" w:color="auto" w:fill="auto"/>
            <w:noWrap/>
            <w:hideMark/>
          </w:tcPr>
          <w:p w14:paraId="249D4804"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ERCC8</w:t>
            </w:r>
          </w:p>
        </w:tc>
        <w:tc>
          <w:tcPr>
            <w:tcW w:w="1487" w:type="dxa"/>
            <w:shd w:val="clear" w:color="auto" w:fill="auto"/>
            <w:noWrap/>
            <w:hideMark/>
          </w:tcPr>
          <w:p w14:paraId="40E07CF2"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5q12.1</w:t>
            </w:r>
          </w:p>
        </w:tc>
        <w:tc>
          <w:tcPr>
            <w:tcW w:w="1487" w:type="dxa"/>
            <w:shd w:val="clear" w:color="auto" w:fill="auto"/>
            <w:noWrap/>
            <w:hideMark/>
          </w:tcPr>
          <w:p w14:paraId="7F26324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PHF6</w:t>
            </w:r>
          </w:p>
        </w:tc>
        <w:tc>
          <w:tcPr>
            <w:tcW w:w="1487" w:type="dxa"/>
            <w:shd w:val="clear" w:color="auto" w:fill="auto"/>
            <w:noWrap/>
            <w:hideMark/>
          </w:tcPr>
          <w:p w14:paraId="7764540A"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Xq26.2</w:t>
            </w:r>
          </w:p>
        </w:tc>
      </w:tr>
      <w:tr w:rsidR="00A715AD" w:rsidRPr="00D87242" w14:paraId="77D86E77"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10998B90"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B9D2</w:t>
            </w:r>
          </w:p>
        </w:tc>
        <w:tc>
          <w:tcPr>
            <w:tcW w:w="1487" w:type="dxa"/>
            <w:shd w:val="clear" w:color="auto" w:fill="auto"/>
            <w:noWrap/>
            <w:hideMark/>
          </w:tcPr>
          <w:p w14:paraId="6D8BD433"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19q13.2</w:t>
            </w:r>
          </w:p>
        </w:tc>
        <w:tc>
          <w:tcPr>
            <w:tcW w:w="1487" w:type="dxa"/>
            <w:shd w:val="clear" w:color="auto" w:fill="auto"/>
            <w:noWrap/>
            <w:hideMark/>
          </w:tcPr>
          <w:p w14:paraId="28588DE8"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FAAP95 </w:t>
            </w:r>
          </w:p>
        </w:tc>
        <w:tc>
          <w:tcPr>
            <w:tcW w:w="1487" w:type="dxa"/>
            <w:shd w:val="clear" w:color="auto" w:fill="auto"/>
            <w:noWrap/>
            <w:hideMark/>
          </w:tcPr>
          <w:p w14:paraId="6848CDFA"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Xp22.2</w:t>
            </w:r>
          </w:p>
        </w:tc>
        <w:tc>
          <w:tcPr>
            <w:tcW w:w="1487" w:type="dxa"/>
            <w:shd w:val="clear" w:color="auto" w:fill="auto"/>
            <w:noWrap/>
            <w:hideMark/>
          </w:tcPr>
          <w:p w14:paraId="4C12E1B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PHF9 </w:t>
            </w:r>
          </w:p>
        </w:tc>
        <w:tc>
          <w:tcPr>
            <w:tcW w:w="1487" w:type="dxa"/>
            <w:shd w:val="clear" w:color="auto" w:fill="auto"/>
            <w:noWrap/>
            <w:hideMark/>
          </w:tcPr>
          <w:p w14:paraId="0B69E08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2p16.1</w:t>
            </w:r>
          </w:p>
        </w:tc>
      </w:tr>
      <w:tr w:rsidR="00A715AD" w:rsidRPr="00D87242" w14:paraId="440BCBC9"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512C4FD"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BLM</w:t>
            </w:r>
          </w:p>
        </w:tc>
        <w:tc>
          <w:tcPr>
            <w:tcW w:w="1487" w:type="dxa"/>
            <w:shd w:val="clear" w:color="auto" w:fill="auto"/>
            <w:noWrap/>
            <w:hideMark/>
          </w:tcPr>
          <w:p w14:paraId="7C1BFE31"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15q26.1</w:t>
            </w:r>
          </w:p>
        </w:tc>
        <w:tc>
          <w:tcPr>
            <w:tcW w:w="1487" w:type="dxa"/>
            <w:shd w:val="clear" w:color="auto" w:fill="auto"/>
            <w:noWrap/>
            <w:hideMark/>
          </w:tcPr>
          <w:p w14:paraId="58F3874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FANCA </w:t>
            </w:r>
          </w:p>
        </w:tc>
        <w:tc>
          <w:tcPr>
            <w:tcW w:w="1487" w:type="dxa"/>
            <w:shd w:val="clear" w:color="auto" w:fill="auto"/>
            <w:noWrap/>
            <w:hideMark/>
          </w:tcPr>
          <w:p w14:paraId="119A653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16q24.3</w:t>
            </w:r>
          </w:p>
        </w:tc>
        <w:tc>
          <w:tcPr>
            <w:tcW w:w="1487" w:type="dxa"/>
            <w:shd w:val="clear" w:color="auto" w:fill="auto"/>
            <w:noWrap/>
            <w:hideMark/>
          </w:tcPr>
          <w:p w14:paraId="6B2A03C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PIEZO2</w:t>
            </w:r>
          </w:p>
        </w:tc>
        <w:tc>
          <w:tcPr>
            <w:tcW w:w="1487" w:type="dxa"/>
            <w:shd w:val="clear" w:color="auto" w:fill="auto"/>
            <w:noWrap/>
            <w:hideMark/>
          </w:tcPr>
          <w:p w14:paraId="45E02C2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18p11.22-11.21</w:t>
            </w:r>
          </w:p>
        </w:tc>
      </w:tr>
      <w:tr w:rsidR="00A715AD" w:rsidRPr="00D87242" w14:paraId="5FA5FAB1"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1395A727"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BRAT1</w:t>
            </w:r>
          </w:p>
        </w:tc>
        <w:tc>
          <w:tcPr>
            <w:tcW w:w="1487" w:type="dxa"/>
            <w:shd w:val="clear" w:color="auto" w:fill="auto"/>
            <w:noWrap/>
            <w:hideMark/>
          </w:tcPr>
          <w:p w14:paraId="6F3A416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7p22.3 </w:t>
            </w:r>
          </w:p>
        </w:tc>
        <w:tc>
          <w:tcPr>
            <w:tcW w:w="1487" w:type="dxa"/>
            <w:shd w:val="clear" w:color="auto" w:fill="auto"/>
            <w:noWrap/>
            <w:hideMark/>
          </w:tcPr>
          <w:p w14:paraId="28ED16F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FANCC </w:t>
            </w:r>
          </w:p>
        </w:tc>
        <w:tc>
          <w:tcPr>
            <w:tcW w:w="1487" w:type="dxa"/>
            <w:shd w:val="clear" w:color="auto" w:fill="auto"/>
            <w:noWrap/>
            <w:hideMark/>
          </w:tcPr>
          <w:p w14:paraId="2A97D5D5"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9q22.32</w:t>
            </w:r>
          </w:p>
        </w:tc>
        <w:tc>
          <w:tcPr>
            <w:tcW w:w="1487" w:type="dxa"/>
            <w:shd w:val="clear" w:color="auto" w:fill="auto"/>
            <w:noWrap/>
            <w:hideMark/>
          </w:tcPr>
          <w:p w14:paraId="1DF311C4"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PPM1D</w:t>
            </w:r>
          </w:p>
        </w:tc>
        <w:tc>
          <w:tcPr>
            <w:tcW w:w="1487" w:type="dxa"/>
            <w:shd w:val="clear" w:color="auto" w:fill="auto"/>
            <w:noWrap/>
            <w:hideMark/>
          </w:tcPr>
          <w:p w14:paraId="10FD4753"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17q23.2</w:t>
            </w:r>
          </w:p>
        </w:tc>
      </w:tr>
      <w:tr w:rsidR="00A715AD" w:rsidRPr="00D87242" w14:paraId="461A2F2C"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7D8F3356"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BRCA2 </w:t>
            </w:r>
          </w:p>
        </w:tc>
        <w:tc>
          <w:tcPr>
            <w:tcW w:w="1487" w:type="dxa"/>
            <w:shd w:val="clear" w:color="auto" w:fill="auto"/>
            <w:noWrap/>
            <w:hideMark/>
          </w:tcPr>
          <w:p w14:paraId="79B15EAD"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13q13.1</w:t>
            </w:r>
          </w:p>
        </w:tc>
        <w:tc>
          <w:tcPr>
            <w:tcW w:w="1487" w:type="dxa"/>
            <w:shd w:val="clear" w:color="auto" w:fill="auto"/>
            <w:noWrap/>
            <w:hideMark/>
          </w:tcPr>
          <w:p w14:paraId="248A1D8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FANCD2 </w:t>
            </w:r>
          </w:p>
        </w:tc>
        <w:tc>
          <w:tcPr>
            <w:tcW w:w="1487" w:type="dxa"/>
            <w:shd w:val="clear" w:color="auto" w:fill="auto"/>
            <w:noWrap/>
            <w:hideMark/>
          </w:tcPr>
          <w:p w14:paraId="619C195D"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3p25.3</w:t>
            </w:r>
          </w:p>
        </w:tc>
        <w:tc>
          <w:tcPr>
            <w:tcW w:w="1487" w:type="dxa"/>
            <w:shd w:val="clear" w:color="auto" w:fill="auto"/>
            <w:noWrap/>
            <w:hideMark/>
          </w:tcPr>
          <w:p w14:paraId="3C85E3A5"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RAD50</w:t>
            </w:r>
          </w:p>
        </w:tc>
        <w:tc>
          <w:tcPr>
            <w:tcW w:w="1487" w:type="dxa"/>
            <w:shd w:val="clear" w:color="auto" w:fill="auto"/>
            <w:noWrap/>
            <w:hideMark/>
          </w:tcPr>
          <w:p w14:paraId="777B0921"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5q31.1 </w:t>
            </w:r>
          </w:p>
        </w:tc>
      </w:tr>
      <w:tr w:rsidR="00A715AD" w:rsidRPr="00D87242" w14:paraId="50533B64"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7590924F"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BRIP1 </w:t>
            </w:r>
          </w:p>
        </w:tc>
        <w:tc>
          <w:tcPr>
            <w:tcW w:w="1487" w:type="dxa"/>
            <w:shd w:val="clear" w:color="auto" w:fill="auto"/>
            <w:noWrap/>
            <w:hideMark/>
          </w:tcPr>
          <w:p w14:paraId="4649CD0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17q23.2</w:t>
            </w:r>
          </w:p>
        </w:tc>
        <w:tc>
          <w:tcPr>
            <w:tcW w:w="1487" w:type="dxa"/>
            <w:shd w:val="clear" w:color="auto" w:fill="auto"/>
            <w:noWrap/>
            <w:hideMark/>
          </w:tcPr>
          <w:p w14:paraId="184C1204"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FANCE </w:t>
            </w:r>
          </w:p>
        </w:tc>
        <w:tc>
          <w:tcPr>
            <w:tcW w:w="1487" w:type="dxa"/>
            <w:shd w:val="clear" w:color="auto" w:fill="auto"/>
            <w:noWrap/>
            <w:hideMark/>
          </w:tcPr>
          <w:p w14:paraId="395BCFF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6p21.31</w:t>
            </w:r>
          </w:p>
        </w:tc>
        <w:tc>
          <w:tcPr>
            <w:tcW w:w="1487" w:type="dxa"/>
            <w:shd w:val="clear" w:color="auto" w:fill="auto"/>
            <w:noWrap/>
            <w:hideMark/>
          </w:tcPr>
          <w:p w14:paraId="1245E62A"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RAD51C </w:t>
            </w:r>
          </w:p>
        </w:tc>
        <w:tc>
          <w:tcPr>
            <w:tcW w:w="1487" w:type="dxa"/>
            <w:shd w:val="clear" w:color="auto" w:fill="auto"/>
            <w:noWrap/>
            <w:hideMark/>
          </w:tcPr>
          <w:p w14:paraId="1E9B8BE9"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17q22</w:t>
            </w:r>
          </w:p>
        </w:tc>
      </w:tr>
      <w:tr w:rsidR="00A715AD" w:rsidRPr="00D87242" w14:paraId="004170C7"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241A4BB0"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CASC5 </w:t>
            </w:r>
          </w:p>
        </w:tc>
        <w:tc>
          <w:tcPr>
            <w:tcW w:w="1487" w:type="dxa"/>
            <w:shd w:val="clear" w:color="auto" w:fill="auto"/>
            <w:noWrap/>
            <w:hideMark/>
          </w:tcPr>
          <w:p w14:paraId="1FD6690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15q15.1</w:t>
            </w:r>
          </w:p>
        </w:tc>
        <w:tc>
          <w:tcPr>
            <w:tcW w:w="1487" w:type="dxa"/>
            <w:shd w:val="clear" w:color="auto" w:fill="auto"/>
            <w:noWrap/>
            <w:hideMark/>
          </w:tcPr>
          <w:p w14:paraId="7F88971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FANCF</w:t>
            </w:r>
          </w:p>
        </w:tc>
        <w:tc>
          <w:tcPr>
            <w:tcW w:w="1487" w:type="dxa"/>
            <w:shd w:val="clear" w:color="auto" w:fill="auto"/>
            <w:noWrap/>
            <w:hideMark/>
          </w:tcPr>
          <w:p w14:paraId="361A6F15"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11p14.3</w:t>
            </w:r>
          </w:p>
        </w:tc>
        <w:tc>
          <w:tcPr>
            <w:tcW w:w="1487" w:type="dxa"/>
            <w:shd w:val="clear" w:color="auto" w:fill="auto"/>
            <w:noWrap/>
            <w:hideMark/>
          </w:tcPr>
          <w:p w14:paraId="2F2444F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RBBP8 </w:t>
            </w:r>
          </w:p>
        </w:tc>
        <w:tc>
          <w:tcPr>
            <w:tcW w:w="1487" w:type="dxa"/>
            <w:shd w:val="clear" w:color="auto" w:fill="auto"/>
            <w:noWrap/>
            <w:hideMark/>
          </w:tcPr>
          <w:p w14:paraId="1D772E8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18q11.2</w:t>
            </w:r>
          </w:p>
        </w:tc>
      </w:tr>
      <w:tr w:rsidR="00A715AD" w:rsidRPr="00D87242" w14:paraId="230F9A8C"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69903372"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CASK</w:t>
            </w:r>
          </w:p>
        </w:tc>
        <w:tc>
          <w:tcPr>
            <w:tcW w:w="1487" w:type="dxa"/>
            <w:shd w:val="clear" w:color="auto" w:fill="auto"/>
            <w:noWrap/>
            <w:hideMark/>
          </w:tcPr>
          <w:p w14:paraId="5C127C3F"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Xp11.4 </w:t>
            </w:r>
          </w:p>
        </w:tc>
        <w:tc>
          <w:tcPr>
            <w:tcW w:w="1487" w:type="dxa"/>
            <w:shd w:val="clear" w:color="auto" w:fill="auto"/>
            <w:noWrap/>
            <w:hideMark/>
          </w:tcPr>
          <w:p w14:paraId="4C357153"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FANCI</w:t>
            </w:r>
          </w:p>
        </w:tc>
        <w:tc>
          <w:tcPr>
            <w:tcW w:w="1487" w:type="dxa"/>
            <w:shd w:val="clear" w:color="auto" w:fill="auto"/>
            <w:noWrap/>
            <w:hideMark/>
          </w:tcPr>
          <w:p w14:paraId="39496155"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15q26.1</w:t>
            </w:r>
          </w:p>
        </w:tc>
        <w:tc>
          <w:tcPr>
            <w:tcW w:w="1487" w:type="dxa"/>
            <w:shd w:val="clear" w:color="auto" w:fill="auto"/>
            <w:noWrap/>
            <w:hideMark/>
          </w:tcPr>
          <w:p w14:paraId="4F27CE19"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RELN </w:t>
            </w:r>
          </w:p>
        </w:tc>
        <w:tc>
          <w:tcPr>
            <w:tcW w:w="1487" w:type="dxa"/>
            <w:shd w:val="clear" w:color="auto" w:fill="auto"/>
            <w:noWrap/>
            <w:hideMark/>
          </w:tcPr>
          <w:p w14:paraId="451A7537"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7q22.1</w:t>
            </w:r>
          </w:p>
        </w:tc>
      </w:tr>
      <w:tr w:rsidR="00A715AD" w:rsidRPr="00D87242" w14:paraId="53C90DDD"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28A89EFD"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CC2D2A</w:t>
            </w:r>
          </w:p>
        </w:tc>
        <w:tc>
          <w:tcPr>
            <w:tcW w:w="1487" w:type="dxa"/>
            <w:shd w:val="clear" w:color="auto" w:fill="auto"/>
            <w:noWrap/>
            <w:hideMark/>
          </w:tcPr>
          <w:p w14:paraId="67E8173D"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4p15.32</w:t>
            </w:r>
          </w:p>
        </w:tc>
        <w:tc>
          <w:tcPr>
            <w:tcW w:w="1487" w:type="dxa"/>
            <w:shd w:val="clear" w:color="auto" w:fill="auto"/>
            <w:noWrap/>
            <w:hideMark/>
          </w:tcPr>
          <w:p w14:paraId="4DD07C5D"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GMNN </w:t>
            </w:r>
          </w:p>
        </w:tc>
        <w:tc>
          <w:tcPr>
            <w:tcW w:w="1487" w:type="dxa"/>
            <w:shd w:val="clear" w:color="auto" w:fill="auto"/>
            <w:noWrap/>
            <w:hideMark/>
          </w:tcPr>
          <w:p w14:paraId="523FE9A1"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6p22.3</w:t>
            </w:r>
          </w:p>
        </w:tc>
        <w:tc>
          <w:tcPr>
            <w:tcW w:w="1487" w:type="dxa"/>
            <w:shd w:val="clear" w:color="auto" w:fill="auto"/>
            <w:noWrap/>
            <w:hideMark/>
          </w:tcPr>
          <w:p w14:paraId="78F2AA44"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RMI1</w:t>
            </w:r>
          </w:p>
        </w:tc>
        <w:tc>
          <w:tcPr>
            <w:tcW w:w="1487" w:type="dxa"/>
            <w:shd w:val="clear" w:color="auto" w:fill="auto"/>
            <w:noWrap/>
            <w:hideMark/>
          </w:tcPr>
          <w:p w14:paraId="107AD84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9q21.32</w:t>
            </w:r>
          </w:p>
        </w:tc>
      </w:tr>
      <w:tr w:rsidR="00A715AD" w:rsidRPr="00D87242" w14:paraId="386D07FE"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6325B5D8"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CDC6 </w:t>
            </w:r>
          </w:p>
        </w:tc>
        <w:tc>
          <w:tcPr>
            <w:tcW w:w="1487" w:type="dxa"/>
            <w:shd w:val="clear" w:color="auto" w:fill="auto"/>
            <w:noWrap/>
            <w:hideMark/>
          </w:tcPr>
          <w:p w14:paraId="38BE022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17q21.2</w:t>
            </w:r>
          </w:p>
        </w:tc>
        <w:tc>
          <w:tcPr>
            <w:tcW w:w="1487" w:type="dxa"/>
            <w:shd w:val="clear" w:color="auto" w:fill="auto"/>
            <w:noWrap/>
            <w:hideMark/>
          </w:tcPr>
          <w:p w14:paraId="6C654E1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HNRNPU</w:t>
            </w:r>
          </w:p>
        </w:tc>
        <w:tc>
          <w:tcPr>
            <w:tcW w:w="1487" w:type="dxa"/>
            <w:shd w:val="clear" w:color="auto" w:fill="auto"/>
            <w:noWrap/>
            <w:hideMark/>
          </w:tcPr>
          <w:p w14:paraId="05726E01"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1q44</w:t>
            </w:r>
          </w:p>
        </w:tc>
        <w:tc>
          <w:tcPr>
            <w:tcW w:w="1487" w:type="dxa"/>
            <w:shd w:val="clear" w:color="auto" w:fill="auto"/>
            <w:noWrap/>
            <w:hideMark/>
          </w:tcPr>
          <w:p w14:paraId="11F2CA2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RNU4atac</w:t>
            </w:r>
          </w:p>
        </w:tc>
        <w:tc>
          <w:tcPr>
            <w:tcW w:w="1487" w:type="dxa"/>
            <w:shd w:val="clear" w:color="auto" w:fill="auto"/>
            <w:noWrap/>
            <w:hideMark/>
          </w:tcPr>
          <w:p w14:paraId="2A41C69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2q14.2 </w:t>
            </w:r>
          </w:p>
        </w:tc>
      </w:tr>
      <w:tr w:rsidR="00A715AD" w:rsidRPr="00D87242" w14:paraId="2651C487"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9D87364"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CDK5 </w:t>
            </w:r>
          </w:p>
        </w:tc>
        <w:tc>
          <w:tcPr>
            <w:tcW w:w="1487" w:type="dxa"/>
            <w:shd w:val="clear" w:color="auto" w:fill="auto"/>
            <w:noWrap/>
            <w:hideMark/>
          </w:tcPr>
          <w:p w14:paraId="0FCF8E2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7q36.1</w:t>
            </w:r>
          </w:p>
        </w:tc>
        <w:tc>
          <w:tcPr>
            <w:tcW w:w="1487" w:type="dxa"/>
            <w:shd w:val="clear" w:color="auto" w:fill="auto"/>
            <w:noWrap/>
            <w:hideMark/>
          </w:tcPr>
          <w:p w14:paraId="288E662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KATNB1 </w:t>
            </w:r>
          </w:p>
        </w:tc>
        <w:tc>
          <w:tcPr>
            <w:tcW w:w="1487" w:type="dxa"/>
            <w:shd w:val="clear" w:color="auto" w:fill="auto"/>
            <w:noWrap/>
            <w:hideMark/>
          </w:tcPr>
          <w:p w14:paraId="79F1F880"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16q21</w:t>
            </w:r>
          </w:p>
        </w:tc>
        <w:tc>
          <w:tcPr>
            <w:tcW w:w="1487" w:type="dxa"/>
            <w:shd w:val="clear" w:color="auto" w:fill="auto"/>
            <w:noWrap/>
            <w:hideMark/>
          </w:tcPr>
          <w:p w14:paraId="52D73CE3"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RPGRIP1L</w:t>
            </w:r>
          </w:p>
        </w:tc>
        <w:tc>
          <w:tcPr>
            <w:tcW w:w="1487" w:type="dxa"/>
            <w:shd w:val="clear" w:color="auto" w:fill="auto"/>
            <w:noWrap/>
            <w:hideMark/>
          </w:tcPr>
          <w:p w14:paraId="2647AA02"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16q12.2</w:t>
            </w:r>
          </w:p>
        </w:tc>
      </w:tr>
      <w:tr w:rsidR="00A715AD" w:rsidRPr="00D87242" w14:paraId="3E79184A"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29ED328E"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CDK5RAP2 </w:t>
            </w:r>
          </w:p>
        </w:tc>
        <w:tc>
          <w:tcPr>
            <w:tcW w:w="1487" w:type="dxa"/>
            <w:shd w:val="clear" w:color="auto" w:fill="auto"/>
            <w:noWrap/>
            <w:hideMark/>
          </w:tcPr>
          <w:p w14:paraId="0BB93E51"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9q33.2</w:t>
            </w:r>
          </w:p>
        </w:tc>
        <w:tc>
          <w:tcPr>
            <w:tcW w:w="1487" w:type="dxa"/>
            <w:shd w:val="clear" w:color="auto" w:fill="auto"/>
            <w:noWrap/>
            <w:hideMark/>
          </w:tcPr>
          <w:p w14:paraId="5C985CE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KIF11</w:t>
            </w:r>
          </w:p>
        </w:tc>
        <w:tc>
          <w:tcPr>
            <w:tcW w:w="1487" w:type="dxa"/>
            <w:shd w:val="clear" w:color="auto" w:fill="auto"/>
            <w:noWrap/>
            <w:hideMark/>
          </w:tcPr>
          <w:p w14:paraId="5C30DB97"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10q23.33</w:t>
            </w:r>
          </w:p>
        </w:tc>
        <w:tc>
          <w:tcPr>
            <w:tcW w:w="1487" w:type="dxa"/>
            <w:shd w:val="clear" w:color="auto" w:fill="auto"/>
            <w:noWrap/>
            <w:hideMark/>
          </w:tcPr>
          <w:p w14:paraId="5965093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RTTN</w:t>
            </w:r>
          </w:p>
        </w:tc>
        <w:tc>
          <w:tcPr>
            <w:tcW w:w="1487" w:type="dxa"/>
            <w:shd w:val="clear" w:color="auto" w:fill="auto"/>
            <w:noWrap/>
            <w:hideMark/>
          </w:tcPr>
          <w:p w14:paraId="1420841D"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18q22.2 </w:t>
            </w:r>
          </w:p>
        </w:tc>
      </w:tr>
      <w:tr w:rsidR="00A715AD" w:rsidRPr="00D87242" w14:paraId="4D3AB58E"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6A59ADC"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CDK6 </w:t>
            </w:r>
          </w:p>
        </w:tc>
        <w:tc>
          <w:tcPr>
            <w:tcW w:w="1487" w:type="dxa"/>
            <w:shd w:val="clear" w:color="auto" w:fill="auto"/>
            <w:noWrap/>
            <w:hideMark/>
          </w:tcPr>
          <w:p w14:paraId="5A32CAC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7q21.2</w:t>
            </w:r>
          </w:p>
        </w:tc>
        <w:tc>
          <w:tcPr>
            <w:tcW w:w="1487" w:type="dxa"/>
            <w:shd w:val="clear" w:color="auto" w:fill="auto"/>
            <w:noWrap/>
            <w:hideMark/>
          </w:tcPr>
          <w:p w14:paraId="699B155A"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KIF14</w:t>
            </w:r>
          </w:p>
        </w:tc>
        <w:tc>
          <w:tcPr>
            <w:tcW w:w="1487" w:type="dxa"/>
            <w:shd w:val="clear" w:color="auto" w:fill="auto"/>
            <w:noWrap/>
            <w:hideMark/>
          </w:tcPr>
          <w:p w14:paraId="7D8F19B3"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1q32.1</w:t>
            </w:r>
          </w:p>
        </w:tc>
        <w:tc>
          <w:tcPr>
            <w:tcW w:w="1487" w:type="dxa"/>
            <w:shd w:val="clear" w:color="auto" w:fill="auto"/>
            <w:noWrap/>
            <w:hideMark/>
          </w:tcPr>
          <w:p w14:paraId="75D9D977"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SASS6 </w:t>
            </w:r>
          </w:p>
        </w:tc>
        <w:tc>
          <w:tcPr>
            <w:tcW w:w="1487" w:type="dxa"/>
            <w:shd w:val="clear" w:color="auto" w:fill="auto"/>
            <w:noWrap/>
            <w:hideMark/>
          </w:tcPr>
          <w:p w14:paraId="4178AAB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1p21.2</w:t>
            </w:r>
          </w:p>
        </w:tc>
      </w:tr>
      <w:tr w:rsidR="00A715AD" w:rsidRPr="00D87242" w14:paraId="48D5E059"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6053D875"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CDT1</w:t>
            </w:r>
          </w:p>
        </w:tc>
        <w:tc>
          <w:tcPr>
            <w:tcW w:w="1487" w:type="dxa"/>
            <w:shd w:val="clear" w:color="auto" w:fill="auto"/>
            <w:noWrap/>
            <w:hideMark/>
          </w:tcPr>
          <w:p w14:paraId="0BA3F279"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16q24.3</w:t>
            </w:r>
          </w:p>
        </w:tc>
        <w:tc>
          <w:tcPr>
            <w:tcW w:w="1487" w:type="dxa"/>
            <w:shd w:val="clear" w:color="auto" w:fill="auto"/>
            <w:noWrap/>
            <w:hideMark/>
          </w:tcPr>
          <w:p w14:paraId="2B99CA00"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KMT2B</w:t>
            </w:r>
          </w:p>
        </w:tc>
        <w:tc>
          <w:tcPr>
            <w:tcW w:w="1487" w:type="dxa"/>
            <w:shd w:val="clear" w:color="auto" w:fill="auto"/>
            <w:noWrap/>
            <w:hideMark/>
          </w:tcPr>
          <w:p w14:paraId="45E724C3"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19q13.12</w:t>
            </w:r>
          </w:p>
        </w:tc>
        <w:tc>
          <w:tcPr>
            <w:tcW w:w="1487" w:type="dxa"/>
            <w:shd w:val="clear" w:color="auto" w:fill="auto"/>
            <w:noWrap/>
            <w:hideMark/>
          </w:tcPr>
          <w:p w14:paraId="4F7A209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SLX4 </w:t>
            </w:r>
          </w:p>
        </w:tc>
        <w:tc>
          <w:tcPr>
            <w:tcW w:w="1487" w:type="dxa"/>
            <w:shd w:val="clear" w:color="auto" w:fill="auto"/>
            <w:noWrap/>
            <w:hideMark/>
          </w:tcPr>
          <w:p w14:paraId="1B41DD5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16p13.3</w:t>
            </w:r>
          </w:p>
        </w:tc>
      </w:tr>
      <w:tr w:rsidR="00A715AD" w:rsidRPr="00D87242" w14:paraId="152BB501"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500C8C93"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CENPE </w:t>
            </w:r>
          </w:p>
        </w:tc>
        <w:tc>
          <w:tcPr>
            <w:tcW w:w="1487" w:type="dxa"/>
            <w:shd w:val="clear" w:color="auto" w:fill="auto"/>
            <w:noWrap/>
            <w:hideMark/>
          </w:tcPr>
          <w:p w14:paraId="0C79BFD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4q24</w:t>
            </w:r>
          </w:p>
        </w:tc>
        <w:tc>
          <w:tcPr>
            <w:tcW w:w="1487" w:type="dxa"/>
            <w:shd w:val="clear" w:color="auto" w:fill="auto"/>
            <w:noWrap/>
            <w:hideMark/>
          </w:tcPr>
          <w:p w14:paraId="35C260A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LAMB1 </w:t>
            </w:r>
          </w:p>
        </w:tc>
        <w:tc>
          <w:tcPr>
            <w:tcW w:w="1487" w:type="dxa"/>
            <w:shd w:val="clear" w:color="auto" w:fill="auto"/>
            <w:noWrap/>
            <w:hideMark/>
          </w:tcPr>
          <w:p w14:paraId="7D0362B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7q31.1</w:t>
            </w:r>
          </w:p>
        </w:tc>
        <w:tc>
          <w:tcPr>
            <w:tcW w:w="1487" w:type="dxa"/>
            <w:shd w:val="clear" w:color="auto" w:fill="auto"/>
            <w:noWrap/>
            <w:hideMark/>
          </w:tcPr>
          <w:p w14:paraId="05EF54E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STIL</w:t>
            </w:r>
          </w:p>
        </w:tc>
        <w:tc>
          <w:tcPr>
            <w:tcW w:w="1487" w:type="dxa"/>
            <w:shd w:val="clear" w:color="auto" w:fill="auto"/>
            <w:noWrap/>
            <w:hideMark/>
          </w:tcPr>
          <w:p w14:paraId="4999324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1p33</w:t>
            </w:r>
          </w:p>
        </w:tc>
      </w:tr>
      <w:tr w:rsidR="00A715AD" w:rsidRPr="00D87242" w14:paraId="184C4641"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8CB9299"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CENPJ </w:t>
            </w:r>
          </w:p>
        </w:tc>
        <w:tc>
          <w:tcPr>
            <w:tcW w:w="1487" w:type="dxa"/>
            <w:shd w:val="clear" w:color="auto" w:fill="auto"/>
            <w:noWrap/>
            <w:hideMark/>
          </w:tcPr>
          <w:p w14:paraId="44C3CA01"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13q12.12-q12.13</w:t>
            </w:r>
          </w:p>
        </w:tc>
        <w:tc>
          <w:tcPr>
            <w:tcW w:w="1487" w:type="dxa"/>
            <w:shd w:val="clear" w:color="auto" w:fill="auto"/>
            <w:noWrap/>
            <w:hideMark/>
          </w:tcPr>
          <w:p w14:paraId="26295AB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LIG4</w:t>
            </w:r>
          </w:p>
        </w:tc>
        <w:tc>
          <w:tcPr>
            <w:tcW w:w="1487" w:type="dxa"/>
            <w:shd w:val="clear" w:color="auto" w:fill="auto"/>
            <w:noWrap/>
            <w:hideMark/>
          </w:tcPr>
          <w:p w14:paraId="1B89C37F"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13q33.3 </w:t>
            </w:r>
          </w:p>
        </w:tc>
        <w:tc>
          <w:tcPr>
            <w:tcW w:w="1487" w:type="dxa"/>
            <w:shd w:val="clear" w:color="auto" w:fill="auto"/>
            <w:noWrap/>
            <w:hideMark/>
          </w:tcPr>
          <w:p w14:paraId="0F1DAEA4"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TCTN2</w:t>
            </w:r>
          </w:p>
        </w:tc>
        <w:tc>
          <w:tcPr>
            <w:tcW w:w="1487" w:type="dxa"/>
            <w:shd w:val="clear" w:color="auto" w:fill="auto"/>
            <w:noWrap/>
            <w:hideMark/>
          </w:tcPr>
          <w:p w14:paraId="00C17258"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12q24.31</w:t>
            </w:r>
          </w:p>
        </w:tc>
      </w:tr>
      <w:tr w:rsidR="00A715AD" w:rsidRPr="00D87242" w14:paraId="25D966F7"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12FEC81"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CEP135 </w:t>
            </w:r>
          </w:p>
        </w:tc>
        <w:tc>
          <w:tcPr>
            <w:tcW w:w="1487" w:type="dxa"/>
            <w:shd w:val="clear" w:color="auto" w:fill="auto"/>
            <w:noWrap/>
            <w:hideMark/>
          </w:tcPr>
          <w:p w14:paraId="6690DB61"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4q12</w:t>
            </w:r>
          </w:p>
        </w:tc>
        <w:tc>
          <w:tcPr>
            <w:tcW w:w="1487" w:type="dxa"/>
            <w:shd w:val="clear" w:color="auto" w:fill="auto"/>
            <w:noWrap/>
            <w:hideMark/>
          </w:tcPr>
          <w:p w14:paraId="5E3CF78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MCPH1</w:t>
            </w:r>
          </w:p>
        </w:tc>
        <w:tc>
          <w:tcPr>
            <w:tcW w:w="1487" w:type="dxa"/>
            <w:shd w:val="clear" w:color="auto" w:fill="auto"/>
            <w:noWrap/>
            <w:hideMark/>
          </w:tcPr>
          <w:p w14:paraId="63F1917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8p23.1</w:t>
            </w:r>
          </w:p>
        </w:tc>
        <w:tc>
          <w:tcPr>
            <w:tcW w:w="1487" w:type="dxa"/>
            <w:shd w:val="clear" w:color="auto" w:fill="auto"/>
            <w:noWrap/>
            <w:hideMark/>
          </w:tcPr>
          <w:p w14:paraId="45679498"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TMEM216</w:t>
            </w:r>
          </w:p>
        </w:tc>
        <w:tc>
          <w:tcPr>
            <w:tcW w:w="1487" w:type="dxa"/>
            <w:shd w:val="clear" w:color="auto" w:fill="auto"/>
            <w:noWrap/>
            <w:hideMark/>
          </w:tcPr>
          <w:p w14:paraId="31BC74C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11q12.2</w:t>
            </w:r>
          </w:p>
        </w:tc>
      </w:tr>
      <w:tr w:rsidR="00A715AD" w:rsidRPr="00D87242" w14:paraId="1A367C68"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204FD5B1"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CEP152 </w:t>
            </w:r>
          </w:p>
        </w:tc>
        <w:tc>
          <w:tcPr>
            <w:tcW w:w="1487" w:type="dxa"/>
            <w:shd w:val="clear" w:color="auto" w:fill="auto"/>
            <w:noWrap/>
            <w:hideMark/>
          </w:tcPr>
          <w:p w14:paraId="31C5B77A"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15q21.1</w:t>
            </w:r>
          </w:p>
        </w:tc>
        <w:tc>
          <w:tcPr>
            <w:tcW w:w="1487" w:type="dxa"/>
            <w:shd w:val="clear" w:color="auto" w:fill="auto"/>
            <w:noWrap/>
            <w:hideMark/>
          </w:tcPr>
          <w:p w14:paraId="091C8470"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MFSD2A </w:t>
            </w:r>
          </w:p>
        </w:tc>
        <w:tc>
          <w:tcPr>
            <w:tcW w:w="1487" w:type="dxa"/>
            <w:shd w:val="clear" w:color="auto" w:fill="auto"/>
            <w:noWrap/>
            <w:hideMark/>
          </w:tcPr>
          <w:p w14:paraId="26116A3F"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1p34.2</w:t>
            </w:r>
          </w:p>
        </w:tc>
        <w:tc>
          <w:tcPr>
            <w:tcW w:w="1487" w:type="dxa"/>
            <w:shd w:val="clear" w:color="auto" w:fill="auto"/>
            <w:noWrap/>
            <w:hideMark/>
          </w:tcPr>
          <w:p w14:paraId="0525B726"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TMEM231</w:t>
            </w:r>
          </w:p>
        </w:tc>
        <w:tc>
          <w:tcPr>
            <w:tcW w:w="1487" w:type="dxa"/>
            <w:shd w:val="clear" w:color="auto" w:fill="auto"/>
            <w:noWrap/>
            <w:hideMark/>
          </w:tcPr>
          <w:p w14:paraId="12EFF27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16q23.1</w:t>
            </w:r>
          </w:p>
        </w:tc>
      </w:tr>
      <w:tr w:rsidR="00A715AD" w:rsidRPr="00D87242" w14:paraId="13F2615F"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374F50D6"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CEP290</w:t>
            </w:r>
          </w:p>
        </w:tc>
        <w:tc>
          <w:tcPr>
            <w:tcW w:w="1487" w:type="dxa"/>
            <w:shd w:val="clear" w:color="auto" w:fill="auto"/>
            <w:noWrap/>
            <w:hideMark/>
          </w:tcPr>
          <w:p w14:paraId="78DCFE47"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12q21.32</w:t>
            </w:r>
          </w:p>
        </w:tc>
        <w:tc>
          <w:tcPr>
            <w:tcW w:w="1487" w:type="dxa"/>
            <w:shd w:val="clear" w:color="auto" w:fill="auto"/>
            <w:noWrap/>
            <w:hideMark/>
          </w:tcPr>
          <w:p w14:paraId="5113D025"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MKS1</w:t>
            </w:r>
          </w:p>
        </w:tc>
        <w:tc>
          <w:tcPr>
            <w:tcW w:w="1487" w:type="dxa"/>
            <w:shd w:val="clear" w:color="auto" w:fill="auto"/>
            <w:noWrap/>
            <w:hideMark/>
          </w:tcPr>
          <w:p w14:paraId="0024FA14"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17q22</w:t>
            </w:r>
          </w:p>
        </w:tc>
        <w:tc>
          <w:tcPr>
            <w:tcW w:w="1487" w:type="dxa"/>
            <w:shd w:val="clear" w:color="auto" w:fill="auto"/>
            <w:noWrap/>
            <w:hideMark/>
          </w:tcPr>
          <w:p w14:paraId="259A948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TMEM67</w:t>
            </w:r>
          </w:p>
        </w:tc>
        <w:tc>
          <w:tcPr>
            <w:tcW w:w="1487" w:type="dxa"/>
            <w:shd w:val="clear" w:color="auto" w:fill="auto"/>
            <w:noWrap/>
            <w:hideMark/>
          </w:tcPr>
          <w:p w14:paraId="3641C369"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8q22.1</w:t>
            </w:r>
          </w:p>
        </w:tc>
      </w:tr>
      <w:tr w:rsidR="00A715AD" w:rsidRPr="00D87242" w14:paraId="37437F33"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548E4543"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CEP63 </w:t>
            </w:r>
          </w:p>
        </w:tc>
        <w:tc>
          <w:tcPr>
            <w:tcW w:w="1487" w:type="dxa"/>
            <w:shd w:val="clear" w:color="auto" w:fill="auto"/>
            <w:noWrap/>
            <w:hideMark/>
          </w:tcPr>
          <w:p w14:paraId="71040DA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3q22.2</w:t>
            </w:r>
          </w:p>
        </w:tc>
        <w:tc>
          <w:tcPr>
            <w:tcW w:w="1487" w:type="dxa"/>
            <w:shd w:val="clear" w:color="auto" w:fill="auto"/>
            <w:noWrap/>
            <w:hideMark/>
          </w:tcPr>
          <w:p w14:paraId="438DAD18"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NBN</w:t>
            </w:r>
          </w:p>
        </w:tc>
        <w:tc>
          <w:tcPr>
            <w:tcW w:w="1487" w:type="dxa"/>
            <w:shd w:val="clear" w:color="auto" w:fill="auto"/>
            <w:noWrap/>
            <w:hideMark/>
          </w:tcPr>
          <w:p w14:paraId="2D364650"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8q21.3 </w:t>
            </w:r>
          </w:p>
        </w:tc>
        <w:tc>
          <w:tcPr>
            <w:tcW w:w="1487" w:type="dxa"/>
            <w:shd w:val="clear" w:color="auto" w:fill="auto"/>
            <w:noWrap/>
            <w:hideMark/>
          </w:tcPr>
          <w:p w14:paraId="163447AD"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TRAIP </w:t>
            </w:r>
          </w:p>
        </w:tc>
        <w:tc>
          <w:tcPr>
            <w:tcW w:w="1487" w:type="dxa"/>
            <w:shd w:val="clear" w:color="auto" w:fill="auto"/>
            <w:noWrap/>
            <w:hideMark/>
          </w:tcPr>
          <w:p w14:paraId="6EAE7ECD"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3p21.31</w:t>
            </w:r>
          </w:p>
        </w:tc>
      </w:tr>
      <w:tr w:rsidR="00A715AD" w:rsidRPr="00D87242" w14:paraId="48F47F92"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3373A3C4"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CKAP2L</w:t>
            </w:r>
          </w:p>
        </w:tc>
        <w:tc>
          <w:tcPr>
            <w:tcW w:w="1487" w:type="dxa"/>
            <w:shd w:val="clear" w:color="auto" w:fill="auto"/>
            <w:noWrap/>
            <w:hideMark/>
          </w:tcPr>
          <w:p w14:paraId="765E60A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2q14.1 </w:t>
            </w:r>
          </w:p>
        </w:tc>
        <w:tc>
          <w:tcPr>
            <w:tcW w:w="1487" w:type="dxa"/>
            <w:shd w:val="clear" w:color="auto" w:fill="auto"/>
            <w:noWrap/>
            <w:hideMark/>
          </w:tcPr>
          <w:p w14:paraId="1DAFE22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NHEJ1</w:t>
            </w:r>
          </w:p>
        </w:tc>
        <w:tc>
          <w:tcPr>
            <w:tcW w:w="1487" w:type="dxa"/>
            <w:shd w:val="clear" w:color="auto" w:fill="auto"/>
            <w:noWrap/>
            <w:hideMark/>
          </w:tcPr>
          <w:p w14:paraId="7F84D8F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2q14.1 </w:t>
            </w:r>
          </w:p>
        </w:tc>
        <w:tc>
          <w:tcPr>
            <w:tcW w:w="1487" w:type="dxa"/>
            <w:shd w:val="clear" w:color="auto" w:fill="auto"/>
            <w:noWrap/>
            <w:hideMark/>
          </w:tcPr>
          <w:p w14:paraId="2685AA1F"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TUBA1A </w:t>
            </w:r>
          </w:p>
        </w:tc>
        <w:tc>
          <w:tcPr>
            <w:tcW w:w="1487" w:type="dxa"/>
            <w:shd w:val="clear" w:color="auto" w:fill="auto"/>
            <w:noWrap/>
            <w:hideMark/>
          </w:tcPr>
          <w:p w14:paraId="70DC27E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12q13.12</w:t>
            </w:r>
          </w:p>
        </w:tc>
      </w:tr>
      <w:tr w:rsidR="00A715AD" w:rsidRPr="00D87242" w14:paraId="03C669E4"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66CEE12C"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DCX </w:t>
            </w:r>
          </w:p>
        </w:tc>
        <w:tc>
          <w:tcPr>
            <w:tcW w:w="1487" w:type="dxa"/>
            <w:shd w:val="clear" w:color="auto" w:fill="auto"/>
            <w:noWrap/>
            <w:hideMark/>
          </w:tcPr>
          <w:p w14:paraId="29A14CB9"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Xq23</w:t>
            </w:r>
          </w:p>
        </w:tc>
        <w:tc>
          <w:tcPr>
            <w:tcW w:w="1487" w:type="dxa"/>
            <w:shd w:val="clear" w:color="auto" w:fill="auto"/>
            <w:noWrap/>
            <w:hideMark/>
          </w:tcPr>
          <w:p w14:paraId="2C0912BA"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NIN </w:t>
            </w:r>
          </w:p>
        </w:tc>
        <w:tc>
          <w:tcPr>
            <w:tcW w:w="1487" w:type="dxa"/>
            <w:shd w:val="clear" w:color="auto" w:fill="auto"/>
            <w:noWrap/>
            <w:hideMark/>
          </w:tcPr>
          <w:p w14:paraId="732021EA"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14q22.1</w:t>
            </w:r>
          </w:p>
        </w:tc>
        <w:tc>
          <w:tcPr>
            <w:tcW w:w="1487" w:type="dxa"/>
            <w:shd w:val="clear" w:color="auto" w:fill="auto"/>
            <w:noWrap/>
            <w:hideMark/>
          </w:tcPr>
          <w:p w14:paraId="32C1FEA0"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UBE2T </w:t>
            </w:r>
          </w:p>
        </w:tc>
        <w:tc>
          <w:tcPr>
            <w:tcW w:w="1487" w:type="dxa"/>
            <w:shd w:val="clear" w:color="auto" w:fill="auto"/>
            <w:noWrap/>
            <w:hideMark/>
          </w:tcPr>
          <w:p w14:paraId="57521A43"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1q32.1</w:t>
            </w:r>
          </w:p>
        </w:tc>
      </w:tr>
      <w:tr w:rsidR="00A715AD" w:rsidRPr="00D87242" w14:paraId="4C77CB9B"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6DD8F25E"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DDX11</w:t>
            </w:r>
          </w:p>
        </w:tc>
        <w:tc>
          <w:tcPr>
            <w:tcW w:w="1487" w:type="dxa"/>
            <w:shd w:val="clear" w:color="auto" w:fill="auto"/>
            <w:noWrap/>
            <w:hideMark/>
          </w:tcPr>
          <w:p w14:paraId="36D6F63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12p11.21 </w:t>
            </w:r>
          </w:p>
        </w:tc>
        <w:tc>
          <w:tcPr>
            <w:tcW w:w="1487" w:type="dxa"/>
            <w:shd w:val="clear" w:color="auto" w:fill="auto"/>
            <w:noWrap/>
            <w:hideMark/>
          </w:tcPr>
          <w:p w14:paraId="6FB13FD3"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NPHP3</w:t>
            </w:r>
          </w:p>
        </w:tc>
        <w:tc>
          <w:tcPr>
            <w:tcW w:w="1487" w:type="dxa"/>
            <w:shd w:val="clear" w:color="auto" w:fill="auto"/>
            <w:noWrap/>
            <w:hideMark/>
          </w:tcPr>
          <w:p w14:paraId="7DEA6E4C"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3q22.1</w:t>
            </w:r>
          </w:p>
        </w:tc>
        <w:tc>
          <w:tcPr>
            <w:tcW w:w="1487" w:type="dxa"/>
            <w:shd w:val="clear" w:color="auto" w:fill="auto"/>
            <w:noWrap/>
            <w:hideMark/>
          </w:tcPr>
          <w:p w14:paraId="25964223"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WDR62 </w:t>
            </w:r>
          </w:p>
        </w:tc>
        <w:tc>
          <w:tcPr>
            <w:tcW w:w="1487" w:type="dxa"/>
            <w:shd w:val="clear" w:color="auto" w:fill="auto"/>
            <w:noWrap/>
            <w:hideMark/>
          </w:tcPr>
          <w:p w14:paraId="1073FB2E"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19q13.12</w:t>
            </w:r>
          </w:p>
        </w:tc>
      </w:tr>
      <w:tr w:rsidR="00A715AD" w:rsidRPr="00D87242" w14:paraId="2AD82ECF"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2ACAE67B"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DHCR7</w:t>
            </w:r>
          </w:p>
        </w:tc>
        <w:tc>
          <w:tcPr>
            <w:tcW w:w="1487" w:type="dxa"/>
            <w:shd w:val="clear" w:color="auto" w:fill="auto"/>
            <w:noWrap/>
            <w:hideMark/>
          </w:tcPr>
          <w:p w14:paraId="44F8C91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11q13.4</w:t>
            </w:r>
          </w:p>
        </w:tc>
        <w:tc>
          <w:tcPr>
            <w:tcW w:w="1487" w:type="dxa"/>
            <w:shd w:val="clear" w:color="auto" w:fill="auto"/>
            <w:noWrap/>
            <w:hideMark/>
          </w:tcPr>
          <w:p w14:paraId="17481B81"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ORC1 </w:t>
            </w:r>
          </w:p>
        </w:tc>
        <w:tc>
          <w:tcPr>
            <w:tcW w:w="1487" w:type="dxa"/>
            <w:shd w:val="clear" w:color="auto" w:fill="auto"/>
            <w:noWrap/>
            <w:hideMark/>
          </w:tcPr>
          <w:p w14:paraId="4453DFA8"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1p32.3</w:t>
            </w:r>
          </w:p>
        </w:tc>
        <w:tc>
          <w:tcPr>
            <w:tcW w:w="1487" w:type="dxa"/>
            <w:shd w:val="clear" w:color="auto" w:fill="auto"/>
            <w:noWrap/>
            <w:hideMark/>
          </w:tcPr>
          <w:p w14:paraId="60B807EC"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XRCC4</w:t>
            </w:r>
          </w:p>
        </w:tc>
        <w:tc>
          <w:tcPr>
            <w:tcW w:w="1487" w:type="dxa"/>
            <w:shd w:val="clear" w:color="auto" w:fill="auto"/>
            <w:noWrap/>
            <w:hideMark/>
          </w:tcPr>
          <w:p w14:paraId="0F14C50D"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 xml:space="preserve">5q14.2 </w:t>
            </w:r>
          </w:p>
        </w:tc>
      </w:tr>
      <w:tr w:rsidR="00A715AD" w:rsidRPr="00D87242" w14:paraId="045F89F2" w14:textId="77777777" w:rsidTr="006361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42887FAF"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 xml:space="preserve">DNA2 </w:t>
            </w:r>
          </w:p>
        </w:tc>
        <w:tc>
          <w:tcPr>
            <w:tcW w:w="1487" w:type="dxa"/>
            <w:shd w:val="clear" w:color="auto" w:fill="auto"/>
            <w:noWrap/>
            <w:hideMark/>
          </w:tcPr>
          <w:p w14:paraId="0997372B"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10q21.3</w:t>
            </w:r>
          </w:p>
        </w:tc>
        <w:tc>
          <w:tcPr>
            <w:tcW w:w="1487" w:type="dxa"/>
            <w:shd w:val="clear" w:color="auto" w:fill="auto"/>
            <w:noWrap/>
            <w:hideMark/>
          </w:tcPr>
          <w:p w14:paraId="092C10E4"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ORC4 </w:t>
            </w:r>
          </w:p>
        </w:tc>
        <w:tc>
          <w:tcPr>
            <w:tcW w:w="1487" w:type="dxa"/>
            <w:shd w:val="clear" w:color="auto" w:fill="auto"/>
            <w:noWrap/>
            <w:hideMark/>
          </w:tcPr>
          <w:p w14:paraId="7A90AB01"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2q23.1</w:t>
            </w:r>
          </w:p>
        </w:tc>
        <w:tc>
          <w:tcPr>
            <w:tcW w:w="1487" w:type="dxa"/>
            <w:shd w:val="clear" w:color="auto" w:fill="auto"/>
            <w:noWrap/>
            <w:hideMark/>
          </w:tcPr>
          <w:p w14:paraId="1AFD3DB3"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XRCC9 </w:t>
            </w:r>
          </w:p>
        </w:tc>
        <w:tc>
          <w:tcPr>
            <w:tcW w:w="1487" w:type="dxa"/>
            <w:shd w:val="clear" w:color="auto" w:fill="auto"/>
            <w:noWrap/>
            <w:hideMark/>
          </w:tcPr>
          <w:p w14:paraId="0034CB15" w14:textId="77777777" w:rsidR="00A715AD" w:rsidRPr="00D87242" w:rsidRDefault="00A715AD" w:rsidP="00636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9p13.3</w:t>
            </w:r>
          </w:p>
        </w:tc>
      </w:tr>
      <w:tr w:rsidR="00A715AD" w:rsidRPr="00D87242" w14:paraId="54491204" w14:textId="77777777" w:rsidTr="006361AF">
        <w:trPr>
          <w:trHeight w:val="300"/>
        </w:trPr>
        <w:tc>
          <w:tcPr>
            <w:cnfStyle w:val="001000000000" w:firstRow="0" w:lastRow="0" w:firstColumn="1" w:lastColumn="0" w:oddVBand="0" w:evenVBand="0" w:oddHBand="0" w:evenHBand="0" w:firstRowFirstColumn="0" w:firstRowLastColumn="0" w:lastRowFirstColumn="0" w:lastRowLastColumn="0"/>
            <w:tcW w:w="1486" w:type="dxa"/>
            <w:shd w:val="clear" w:color="auto" w:fill="auto"/>
            <w:noWrap/>
            <w:hideMark/>
          </w:tcPr>
          <w:p w14:paraId="603BCDEC" w14:textId="77777777" w:rsidR="00A715AD" w:rsidRPr="00D87242" w:rsidRDefault="00A715AD" w:rsidP="006361AF">
            <w:pPr>
              <w:rPr>
                <w:rFonts w:ascii="Calibri" w:eastAsia="Times New Roman" w:hAnsi="Calibri" w:cs="Calibri"/>
                <w:b w:val="0"/>
                <w:bCs w:val="0"/>
                <w:i/>
                <w:iCs/>
                <w:color w:val="000000"/>
                <w:szCs w:val="22"/>
                <w:lang w:eastAsia="en-GB"/>
              </w:rPr>
            </w:pPr>
            <w:r w:rsidRPr="00D87242">
              <w:rPr>
                <w:rFonts w:ascii="Calibri" w:eastAsia="Times New Roman" w:hAnsi="Calibri" w:cs="Calibri"/>
                <w:b w:val="0"/>
                <w:bCs w:val="0"/>
                <w:i/>
                <w:iCs/>
                <w:color w:val="000000"/>
                <w:szCs w:val="22"/>
                <w:lang w:eastAsia="en-GB"/>
              </w:rPr>
              <w:t>ERCC1</w:t>
            </w:r>
          </w:p>
        </w:tc>
        <w:tc>
          <w:tcPr>
            <w:tcW w:w="1487" w:type="dxa"/>
            <w:shd w:val="clear" w:color="auto" w:fill="auto"/>
            <w:noWrap/>
            <w:hideMark/>
          </w:tcPr>
          <w:p w14:paraId="7157CA1B"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19q13.32</w:t>
            </w:r>
          </w:p>
        </w:tc>
        <w:tc>
          <w:tcPr>
            <w:tcW w:w="1487" w:type="dxa"/>
            <w:shd w:val="clear" w:color="auto" w:fill="auto"/>
            <w:noWrap/>
            <w:hideMark/>
          </w:tcPr>
          <w:p w14:paraId="4FF17308"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ORC6 </w:t>
            </w:r>
          </w:p>
        </w:tc>
        <w:tc>
          <w:tcPr>
            <w:tcW w:w="1487" w:type="dxa"/>
            <w:shd w:val="clear" w:color="auto" w:fill="auto"/>
            <w:noWrap/>
            <w:hideMark/>
          </w:tcPr>
          <w:p w14:paraId="7CD6D23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16q11.2</w:t>
            </w:r>
          </w:p>
        </w:tc>
        <w:tc>
          <w:tcPr>
            <w:tcW w:w="1487" w:type="dxa"/>
            <w:shd w:val="clear" w:color="auto" w:fill="auto"/>
            <w:noWrap/>
            <w:hideMark/>
          </w:tcPr>
          <w:p w14:paraId="584C9AA5"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Cs w:val="22"/>
                <w:lang w:eastAsia="en-GB"/>
              </w:rPr>
            </w:pPr>
            <w:r w:rsidRPr="00D87242">
              <w:rPr>
                <w:rFonts w:ascii="Calibri" w:eastAsia="Times New Roman" w:hAnsi="Calibri" w:cs="Calibri"/>
                <w:i/>
                <w:iCs/>
                <w:color w:val="000000"/>
                <w:szCs w:val="22"/>
                <w:lang w:eastAsia="en-GB"/>
              </w:rPr>
              <w:t xml:space="preserve">ZNF335 </w:t>
            </w:r>
          </w:p>
        </w:tc>
        <w:tc>
          <w:tcPr>
            <w:tcW w:w="1487" w:type="dxa"/>
            <w:shd w:val="clear" w:color="auto" w:fill="auto"/>
            <w:noWrap/>
            <w:hideMark/>
          </w:tcPr>
          <w:p w14:paraId="0DD58B2E" w14:textId="77777777" w:rsidR="00A715AD" w:rsidRPr="00D87242" w:rsidRDefault="00A715AD" w:rsidP="006361A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2"/>
                <w:lang w:eastAsia="en-GB"/>
              </w:rPr>
            </w:pPr>
            <w:r w:rsidRPr="00D87242">
              <w:rPr>
                <w:rFonts w:ascii="Calibri" w:eastAsia="Times New Roman" w:hAnsi="Calibri" w:cs="Calibri"/>
                <w:color w:val="000000"/>
                <w:szCs w:val="22"/>
                <w:lang w:eastAsia="en-GB"/>
              </w:rPr>
              <w:t>20q13.12</w:t>
            </w:r>
          </w:p>
        </w:tc>
      </w:tr>
    </w:tbl>
    <w:p w14:paraId="33A6DA7B" w14:textId="777D1004" w:rsidR="004D262B" w:rsidRDefault="004D262B" w:rsidP="007351D1">
      <w:pPr>
        <w:spacing w:line="480" w:lineRule="auto"/>
        <w:jc w:val="both"/>
        <w:rPr>
          <w:rFonts w:cs="Arial"/>
          <w:lang w:val="en-US"/>
        </w:rPr>
      </w:pPr>
    </w:p>
    <w:p w14:paraId="69C96FF6" w14:textId="77777777" w:rsidR="002B6A63" w:rsidRPr="007351D1" w:rsidRDefault="008471AF">
      <w:pPr>
        <w:rPr>
          <w:lang w:val="en-US"/>
        </w:rPr>
      </w:pPr>
    </w:p>
    <w:sectPr w:rsidR="002B6A63" w:rsidRPr="007351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D1"/>
    <w:rsid w:val="000F2DE6"/>
    <w:rsid w:val="00154E47"/>
    <w:rsid w:val="001E2C55"/>
    <w:rsid w:val="00412711"/>
    <w:rsid w:val="004D262B"/>
    <w:rsid w:val="005440CB"/>
    <w:rsid w:val="005F2691"/>
    <w:rsid w:val="0066497F"/>
    <w:rsid w:val="00734630"/>
    <w:rsid w:val="007351D1"/>
    <w:rsid w:val="00747E73"/>
    <w:rsid w:val="00755908"/>
    <w:rsid w:val="007602D1"/>
    <w:rsid w:val="008471AF"/>
    <w:rsid w:val="00A715AD"/>
    <w:rsid w:val="00AD7469"/>
    <w:rsid w:val="00B07BC1"/>
    <w:rsid w:val="00B227D3"/>
    <w:rsid w:val="00B50E14"/>
    <w:rsid w:val="00C1682D"/>
    <w:rsid w:val="00C3533A"/>
    <w:rsid w:val="00CA1BC1"/>
    <w:rsid w:val="00CB18A5"/>
    <w:rsid w:val="00CC125F"/>
    <w:rsid w:val="00CD3EB4"/>
    <w:rsid w:val="00D87242"/>
    <w:rsid w:val="00F13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FF5D"/>
  <w15:chartTrackingRefBased/>
  <w15:docId w15:val="{26B4B63A-26A1-44E7-8C13-63A7707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1D1"/>
    <w:pPr>
      <w:spacing w:after="0" w:line="240" w:lineRule="auto"/>
    </w:pPr>
    <w:rPr>
      <w:rFonts w:ascii="Arial" w:hAnsi="Arial" w:cs="Times New Roman (Body CS)"/>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C1682D"/>
    <w:pPr>
      <w:spacing w:after="0" w:line="240" w:lineRule="auto"/>
    </w:pPr>
    <w:rPr>
      <w:rFonts w:ascii="Arial" w:hAnsi="Arial" w:cs="Times New Roman (Body CS)"/>
      <w:szCs w:val="24"/>
      <w:lang w:val="en-GB"/>
    </w:rPr>
  </w:style>
  <w:style w:type="table" w:styleId="EinfacheTabelle1">
    <w:name w:val="Plain Table 1"/>
    <w:basedOn w:val="NormaleTabelle"/>
    <w:uiPriority w:val="41"/>
    <w:rsid w:val="00A715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15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4Akzent3">
    <w:name w:val="Grid Table 4 Accent 3"/>
    <w:basedOn w:val="NormaleTabelle"/>
    <w:uiPriority w:val="49"/>
    <w:rsid w:val="00A715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3">
    <w:name w:val="Grid Table 2 Accent 3"/>
    <w:basedOn w:val="NormaleTabelle"/>
    <w:uiPriority w:val="47"/>
    <w:rsid w:val="00A715AD"/>
    <w:pPr>
      <w:spacing w:after="0" w:line="240" w:lineRule="auto"/>
    </w:pPr>
    <w:rPr>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prechblasentext">
    <w:name w:val="Balloon Text"/>
    <w:basedOn w:val="Standard"/>
    <w:link w:val="SprechblasentextZchn"/>
    <w:uiPriority w:val="99"/>
    <w:semiHidden/>
    <w:unhideWhenUsed/>
    <w:rsid w:val="005440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40C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096">
      <w:bodyDiv w:val="1"/>
      <w:marLeft w:val="0"/>
      <w:marRight w:val="0"/>
      <w:marTop w:val="0"/>
      <w:marBottom w:val="0"/>
      <w:divBdr>
        <w:top w:val="none" w:sz="0" w:space="0" w:color="auto"/>
        <w:left w:val="none" w:sz="0" w:space="0" w:color="auto"/>
        <w:bottom w:val="none" w:sz="0" w:space="0" w:color="auto"/>
        <w:right w:val="none" w:sz="0" w:space="0" w:color="auto"/>
      </w:divBdr>
    </w:div>
    <w:div w:id="627010432">
      <w:bodyDiv w:val="1"/>
      <w:marLeft w:val="0"/>
      <w:marRight w:val="0"/>
      <w:marTop w:val="0"/>
      <w:marBottom w:val="0"/>
      <w:divBdr>
        <w:top w:val="none" w:sz="0" w:space="0" w:color="auto"/>
        <w:left w:val="none" w:sz="0" w:space="0" w:color="auto"/>
        <w:bottom w:val="none" w:sz="0" w:space="0" w:color="auto"/>
        <w:right w:val="none" w:sz="0" w:space="0" w:color="auto"/>
      </w:divBdr>
    </w:div>
    <w:div w:id="20920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96B6-982C-404D-80CA-CDA46C30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1792</Words>
  <Characters>11293</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Universitätsmedizin Göttingen</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Gönenc, Ipek Ilgin</dc:creator>
  <cp:keywords/>
  <dc:description/>
  <cp:lastModifiedBy>Ilgin Gönenc</cp:lastModifiedBy>
  <cp:revision>3</cp:revision>
  <dcterms:created xsi:type="dcterms:W3CDTF">2022-01-31T09:09:00Z</dcterms:created>
  <dcterms:modified xsi:type="dcterms:W3CDTF">2022-01-31T09:11:00Z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95dc0d4b-6f0c-3123-ab63-eb7327368ec6</vt:lpwstr>
  </property>
  <property fmtid="{D5CDD505-2E9C-101B-9397-08002B2CF9AE}" pid="24" name="Mendeley Citation Style_1">
    <vt:lpwstr>http://www.zotero.org/styles/american-medical-association</vt:lpwstr>
  </property>
</Properties>
</file>