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E89" w:rsidRPr="008D520F" w:rsidRDefault="00E6106C" w:rsidP="004C2E89">
      <w:pPr>
        <w:jc w:val="center"/>
        <w:rPr>
          <w:b/>
          <w:u w:val="single"/>
          <w:lang w:val="en-GB"/>
        </w:rPr>
      </w:pPr>
      <w:r>
        <w:rPr>
          <w:b/>
          <w:u w:val="single"/>
          <w:lang w:val="en-GB"/>
        </w:rPr>
        <w:t xml:space="preserve">Additional file 1: </w:t>
      </w:r>
      <w:r w:rsidR="004C2E89" w:rsidRPr="008D520F">
        <w:rPr>
          <w:b/>
          <w:u w:val="single"/>
          <w:lang w:val="en-GB"/>
        </w:rPr>
        <w:t>Supplementa</w:t>
      </w:r>
      <w:r w:rsidR="00F418CF" w:rsidRPr="008D520F">
        <w:rPr>
          <w:b/>
          <w:u w:val="single"/>
          <w:lang w:val="en-GB"/>
        </w:rPr>
        <w:t>ry</w:t>
      </w:r>
      <w:r w:rsidR="004C2E89" w:rsidRPr="008D520F">
        <w:rPr>
          <w:b/>
          <w:u w:val="single"/>
          <w:lang w:val="en-GB"/>
        </w:rPr>
        <w:t xml:space="preserve"> materials</w:t>
      </w:r>
    </w:p>
    <w:p w:rsidR="004C2E89" w:rsidRPr="008D520F" w:rsidRDefault="004C2E89" w:rsidP="004C2E89">
      <w:pPr>
        <w:jc w:val="both"/>
        <w:rPr>
          <w:lang w:val="en-GB"/>
        </w:rPr>
      </w:pPr>
    </w:p>
    <w:p w:rsidR="004C2E89" w:rsidRPr="008D520F" w:rsidRDefault="00C2421E" w:rsidP="004C2E89">
      <w:pPr>
        <w:jc w:val="both"/>
        <w:rPr>
          <w:lang w:val="en-GB"/>
        </w:rPr>
      </w:pPr>
      <w:r>
        <w:rPr>
          <w:noProof/>
          <w:lang w:val="en-US"/>
        </w:rPr>
        <w:drawing>
          <wp:inline distT="0" distB="0" distL="0" distR="0" wp14:anchorId="4229255B">
            <wp:extent cx="5991376" cy="23066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1870" cy="2314554"/>
                    </a:xfrm>
                    <a:prstGeom prst="rect">
                      <a:avLst/>
                    </a:prstGeom>
                    <a:noFill/>
                  </pic:spPr>
                </pic:pic>
              </a:graphicData>
            </a:graphic>
          </wp:inline>
        </w:drawing>
      </w:r>
    </w:p>
    <w:p w:rsidR="004C2E89" w:rsidRPr="008D520F" w:rsidRDefault="007B786A" w:rsidP="004C2E89">
      <w:pPr>
        <w:jc w:val="both"/>
        <w:rPr>
          <w:sz w:val="20"/>
          <w:lang w:val="en-GB"/>
        </w:rPr>
      </w:pPr>
      <w:r>
        <w:rPr>
          <w:sz w:val="20"/>
          <w:lang w:val="en-GB"/>
        </w:rPr>
        <w:t>Fig.</w:t>
      </w:r>
      <w:r w:rsidR="004C2E89" w:rsidRPr="008D520F">
        <w:rPr>
          <w:sz w:val="20"/>
          <w:lang w:val="en-GB"/>
        </w:rPr>
        <w:t xml:space="preserve"> </w:t>
      </w:r>
      <w:r w:rsidR="008C080C" w:rsidRPr="008D520F">
        <w:rPr>
          <w:sz w:val="20"/>
          <w:lang w:val="en-GB"/>
        </w:rPr>
        <w:t>S</w:t>
      </w:r>
      <w:r w:rsidR="004C2E89" w:rsidRPr="008D520F">
        <w:rPr>
          <w:sz w:val="20"/>
          <w:lang w:val="en-GB"/>
        </w:rPr>
        <w:t>1: Basic principle of the used enzymatic cytosine conversion approach: Enzymatic modification by TET2 and APOBEC of non-methylated cytosines allows methylation-sensitive sequencing. The TET2 enzyme and an oxidation enhancer reagent selectively and non-destructively convert both 5mC and 5hmC into oxidized derivatives that are no longer substrates of the APOBEC enzyme.</w:t>
      </w:r>
      <w:bookmarkStart w:id="0" w:name="_GoBack"/>
      <w:bookmarkEnd w:id="0"/>
      <w:r w:rsidR="004C2E89" w:rsidRPr="008D520F">
        <w:rPr>
          <w:sz w:val="20"/>
          <w:lang w:val="en-GB"/>
        </w:rPr>
        <w:t xml:space="preserve"> APOBEC subsequently deaminates non-5mC and non-5hmC cytosines. Upon sequencing, 5mC and 5hmC are then read as cytosines, whereas the APOBEC-deaminated cytosines are read as thymines. C: cytosine, Cg: cytosine glycol, 5-OH-C: 5-hydroxycytosine, 5-OH-U: 5-hydroxyuracil, T: thymine, 5mC: 5-methylcytosine, hmC: 5-hydroxymethylcytosine, fC: formylcytosine, caC; carboxycytosine</w:t>
      </w:r>
      <w:r w:rsidR="00171A97">
        <w:rPr>
          <w:sz w:val="20"/>
          <w:lang w:val="en-GB"/>
        </w:rPr>
        <w:t>.</w:t>
      </w:r>
    </w:p>
    <w:p w:rsidR="00F550D4" w:rsidRDefault="00F550D4">
      <w:pPr>
        <w:spacing w:after="160" w:line="259" w:lineRule="auto"/>
        <w:rPr>
          <w:lang w:val="en-GB"/>
        </w:rPr>
        <w:sectPr w:rsidR="00F550D4">
          <w:pgSz w:w="12240" w:h="15840"/>
          <w:pgMar w:top="1417" w:right="1417" w:bottom="1134" w:left="1417" w:header="708" w:footer="708" w:gutter="0"/>
          <w:cols w:space="708"/>
          <w:docGrid w:linePitch="360"/>
        </w:sectPr>
      </w:pPr>
    </w:p>
    <w:p w:rsidR="006F273E" w:rsidRPr="008D520F" w:rsidRDefault="00AE2536" w:rsidP="006F273E">
      <w:pPr>
        <w:jc w:val="both"/>
        <w:rPr>
          <w:sz w:val="20"/>
          <w:lang w:val="en-GB"/>
        </w:rPr>
      </w:pPr>
      <w:r>
        <w:rPr>
          <w:noProof/>
          <w:sz w:val="20"/>
          <w:lang w:val="en-US"/>
        </w:rPr>
        <w:lastRenderedPageBreak/>
        <w:drawing>
          <wp:inline distT="0" distB="0" distL="0" distR="0" wp14:anchorId="06FB32B7">
            <wp:extent cx="8657227" cy="30264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89002" cy="3037564"/>
                    </a:xfrm>
                    <a:prstGeom prst="rect">
                      <a:avLst/>
                    </a:prstGeom>
                    <a:noFill/>
                  </pic:spPr>
                </pic:pic>
              </a:graphicData>
            </a:graphic>
          </wp:inline>
        </w:drawing>
      </w:r>
    </w:p>
    <w:p w:rsidR="006F273E" w:rsidRPr="008D520F" w:rsidRDefault="007B786A" w:rsidP="006F273E">
      <w:pPr>
        <w:jc w:val="both"/>
        <w:rPr>
          <w:sz w:val="20"/>
          <w:lang w:val="en-GB"/>
        </w:rPr>
      </w:pPr>
      <w:r>
        <w:rPr>
          <w:sz w:val="20"/>
          <w:lang w:val="en-GB"/>
        </w:rPr>
        <w:t>Fig.</w:t>
      </w:r>
      <w:r w:rsidR="006F273E" w:rsidRPr="008D520F">
        <w:rPr>
          <w:sz w:val="20"/>
          <w:lang w:val="en-GB"/>
        </w:rPr>
        <w:t xml:space="preserve"> S</w:t>
      </w:r>
      <w:r w:rsidR="006F273E">
        <w:rPr>
          <w:sz w:val="20"/>
          <w:lang w:val="en-GB"/>
        </w:rPr>
        <w:t>2</w:t>
      </w:r>
      <w:r w:rsidR="006F273E" w:rsidRPr="008D520F">
        <w:rPr>
          <w:sz w:val="20"/>
          <w:lang w:val="en-GB"/>
        </w:rPr>
        <w:t xml:space="preserve">: Normalized coverage over genomic regions plotted by GC content. Enzymatic methylation sequencing </w:t>
      </w:r>
      <w:r w:rsidR="006F273E">
        <w:rPr>
          <w:sz w:val="20"/>
          <w:lang w:val="en-GB"/>
        </w:rPr>
        <w:t xml:space="preserve">(n=13 samples) </w:t>
      </w:r>
      <w:r w:rsidR="006F273E" w:rsidRPr="008D520F">
        <w:rPr>
          <w:sz w:val="20"/>
          <w:lang w:val="en-GB"/>
        </w:rPr>
        <w:t xml:space="preserve">achieves more balanced coverage </w:t>
      </w:r>
      <w:r w:rsidR="006F273E">
        <w:rPr>
          <w:sz w:val="20"/>
          <w:lang w:val="en-GB"/>
        </w:rPr>
        <w:t xml:space="preserve">than Bisulfite sequencing (n=3 samples) </w:t>
      </w:r>
      <w:r w:rsidR="006F273E" w:rsidRPr="008D520F">
        <w:rPr>
          <w:sz w:val="20"/>
          <w:lang w:val="en-GB"/>
        </w:rPr>
        <w:t xml:space="preserve">by </w:t>
      </w:r>
      <w:r w:rsidR="006F273E">
        <w:rPr>
          <w:sz w:val="20"/>
          <w:lang w:val="en-GB"/>
        </w:rPr>
        <w:t xml:space="preserve">more proportionally representing </w:t>
      </w:r>
      <w:r w:rsidR="006F273E" w:rsidRPr="008D520F">
        <w:rPr>
          <w:sz w:val="20"/>
          <w:lang w:val="en-GB"/>
        </w:rPr>
        <w:t>GC-rich regions in the studied libraries. The CollectGcBiasMetrics tool of the Picard package (http://broadinstitute.github.io/picard) was used on each</w:t>
      </w:r>
      <w:r w:rsidR="006F273E">
        <w:rPr>
          <w:sz w:val="20"/>
          <w:lang w:val="en-GB"/>
        </w:rPr>
        <w:t xml:space="preserve"> merged</w:t>
      </w:r>
      <w:r w:rsidR="006F273E" w:rsidRPr="008D520F">
        <w:rPr>
          <w:sz w:val="20"/>
          <w:lang w:val="en-GB"/>
        </w:rPr>
        <w:t xml:space="preserve"> library and the subsequent results averaged.</w:t>
      </w:r>
      <w:r w:rsidR="006F273E">
        <w:rPr>
          <w:sz w:val="20"/>
          <w:lang w:val="en-GB"/>
        </w:rPr>
        <w:t xml:space="preserve"> All libraries were studied.</w:t>
      </w:r>
    </w:p>
    <w:p w:rsidR="006F273E" w:rsidRDefault="006F273E" w:rsidP="006F273E">
      <w:pPr>
        <w:spacing w:after="160" w:line="259" w:lineRule="auto"/>
        <w:rPr>
          <w:sz w:val="20"/>
          <w:lang w:val="en-GB"/>
        </w:rPr>
      </w:pPr>
      <w:r>
        <w:rPr>
          <w:sz w:val="20"/>
          <w:lang w:val="en-GB"/>
        </w:rPr>
        <w:br w:type="page"/>
      </w:r>
    </w:p>
    <w:p w:rsidR="00675335" w:rsidRDefault="00675335" w:rsidP="00675335">
      <w:pPr>
        <w:spacing w:after="160" w:line="259" w:lineRule="auto"/>
        <w:jc w:val="both"/>
        <w:rPr>
          <w:sz w:val="20"/>
          <w:lang w:val="en-GB"/>
        </w:rPr>
      </w:pPr>
      <w:r>
        <w:rPr>
          <w:noProof/>
          <w:sz w:val="20"/>
          <w:lang w:val="en-US"/>
        </w:rPr>
        <w:lastRenderedPageBreak/>
        <w:drawing>
          <wp:inline distT="0" distB="0" distL="0" distR="0" wp14:anchorId="365C3FD7" wp14:editId="0C09FA6B">
            <wp:extent cx="8676005" cy="4837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7157" cy="4843730"/>
                    </a:xfrm>
                    <a:prstGeom prst="rect">
                      <a:avLst/>
                    </a:prstGeom>
                    <a:noFill/>
                  </pic:spPr>
                </pic:pic>
              </a:graphicData>
            </a:graphic>
          </wp:inline>
        </w:drawing>
      </w:r>
      <w:r>
        <w:rPr>
          <w:sz w:val="20"/>
          <w:lang w:val="en-GB"/>
        </w:rPr>
        <w:t xml:space="preserve"> </w:t>
      </w:r>
      <w:r w:rsidR="007B786A">
        <w:rPr>
          <w:sz w:val="20"/>
          <w:lang w:val="en-GB"/>
        </w:rPr>
        <w:t>Fig.</w:t>
      </w:r>
      <w:r>
        <w:rPr>
          <w:sz w:val="20"/>
          <w:lang w:val="en-GB"/>
        </w:rPr>
        <w:t xml:space="preserve"> S3: Mapping efficiency of methylation-sensitive alignment for all analysed samples (merged libraries). The mapping quality was highest for blood-derived cfDNA after enzymatic cytosine conversion. Urine-derived, enzymatically converted cfDNA libraries showed a highly variable mapping efficiency. Error bars represent SD.</w:t>
      </w:r>
    </w:p>
    <w:p w:rsidR="00675335" w:rsidRPr="008D520F" w:rsidRDefault="006F273E" w:rsidP="00675335">
      <w:pPr>
        <w:jc w:val="both"/>
        <w:rPr>
          <w:lang w:val="en-GB"/>
        </w:rPr>
      </w:pPr>
      <w:r>
        <w:rPr>
          <w:noProof/>
          <w:sz w:val="20"/>
          <w:szCs w:val="20"/>
          <w:lang w:eastAsia="de-DE"/>
        </w:rPr>
        <w:br w:type="page"/>
      </w:r>
      <w:r w:rsidR="00675335">
        <w:rPr>
          <w:noProof/>
          <w:lang w:val="en-US"/>
        </w:rPr>
        <w:lastRenderedPageBreak/>
        <w:drawing>
          <wp:inline distT="0" distB="0" distL="0" distR="0" wp14:anchorId="46276DDB" wp14:editId="71AE3363">
            <wp:extent cx="4080444" cy="3712231"/>
            <wp:effectExtent l="0" t="0" r="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7218" cy="3736589"/>
                    </a:xfrm>
                    <a:prstGeom prst="rect">
                      <a:avLst/>
                    </a:prstGeom>
                    <a:noFill/>
                  </pic:spPr>
                </pic:pic>
              </a:graphicData>
            </a:graphic>
          </wp:inline>
        </w:drawing>
      </w:r>
      <w:r w:rsidR="00675335">
        <w:rPr>
          <w:noProof/>
          <w:lang w:val="en-US"/>
        </w:rPr>
        <w:drawing>
          <wp:inline distT="0" distB="0" distL="0" distR="0" wp14:anchorId="42F64C15" wp14:editId="7DD1A9DA">
            <wp:extent cx="3139616" cy="3713188"/>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058" cy="3771662"/>
                    </a:xfrm>
                    <a:prstGeom prst="rect">
                      <a:avLst/>
                    </a:prstGeom>
                    <a:noFill/>
                  </pic:spPr>
                </pic:pic>
              </a:graphicData>
            </a:graphic>
          </wp:inline>
        </w:drawing>
      </w:r>
    </w:p>
    <w:p w:rsidR="00675335" w:rsidRPr="008D520F" w:rsidRDefault="007B786A" w:rsidP="00675335">
      <w:pPr>
        <w:jc w:val="both"/>
        <w:rPr>
          <w:sz w:val="20"/>
          <w:lang w:val="en-GB"/>
        </w:rPr>
      </w:pPr>
      <w:r>
        <w:rPr>
          <w:sz w:val="20"/>
          <w:lang w:val="en-GB"/>
        </w:rPr>
        <w:t>Fig.</w:t>
      </w:r>
      <w:r w:rsidR="00675335" w:rsidRPr="008D520F">
        <w:rPr>
          <w:sz w:val="20"/>
          <w:lang w:val="en-GB"/>
        </w:rPr>
        <w:t xml:space="preserve"> S</w:t>
      </w:r>
      <w:r w:rsidR="00675335">
        <w:rPr>
          <w:sz w:val="20"/>
          <w:lang w:val="en-GB"/>
        </w:rPr>
        <w:t>4</w:t>
      </w:r>
      <w:r w:rsidR="00675335" w:rsidRPr="008D520F">
        <w:rPr>
          <w:sz w:val="20"/>
          <w:lang w:val="en-GB"/>
        </w:rPr>
        <w:t xml:space="preserve">: Donor </w:t>
      </w:r>
      <w:r w:rsidR="00675335">
        <w:rPr>
          <w:sz w:val="20"/>
          <w:lang w:val="en-GB"/>
        </w:rPr>
        <w:t>SNP</w:t>
      </w:r>
      <w:r w:rsidR="00675335" w:rsidRPr="008D520F">
        <w:rPr>
          <w:sz w:val="20"/>
          <w:lang w:val="en-GB"/>
        </w:rPr>
        <w:t xml:space="preserve"> allele fraction in graft, patient blood and patient urine. </w:t>
      </w:r>
      <w:r w:rsidR="00675335" w:rsidRPr="00C70882">
        <w:rPr>
          <w:b/>
          <w:sz w:val="20"/>
          <w:lang w:val="en-GB"/>
        </w:rPr>
        <w:t>a</w:t>
      </w:r>
      <w:r w:rsidR="00675335">
        <w:rPr>
          <w:sz w:val="20"/>
          <w:lang w:val="en-GB"/>
        </w:rPr>
        <w:t>,</w:t>
      </w:r>
      <w:r w:rsidR="00675335" w:rsidRPr="008D520F">
        <w:rPr>
          <w:sz w:val="20"/>
          <w:lang w:val="en-GB"/>
        </w:rPr>
        <w:t xml:space="preserve"> Patient P29 with </w:t>
      </w:r>
      <w:r w:rsidR="00675335">
        <w:rPr>
          <w:sz w:val="20"/>
          <w:lang w:val="en-GB"/>
        </w:rPr>
        <w:t>a first-</w:t>
      </w:r>
      <w:r w:rsidR="00675335" w:rsidRPr="008D520F">
        <w:rPr>
          <w:sz w:val="20"/>
          <w:lang w:val="en-GB"/>
        </w:rPr>
        <w:t xml:space="preserve">degree relative donor </w:t>
      </w:r>
      <w:r w:rsidR="00675335">
        <w:rPr>
          <w:sz w:val="20"/>
          <w:lang w:val="en-GB"/>
        </w:rPr>
        <w:t xml:space="preserve">kidney </w:t>
      </w:r>
      <w:r w:rsidR="00675335" w:rsidRPr="008D520F">
        <w:rPr>
          <w:sz w:val="20"/>
          <w:lang w:val="en-GB"/>
        </w:rPr>
        <w:t xml:space="preserve">transplant. Since only heterozygous donor </w:t>
      </w:r>
      <w:r w:rsidR="00675335">
        <w:rPr>
          <w:sz w:val="20"/>
          <w:lang w:val="en-GB"/>
        </w:rPr>
        <w:t>SNP</w:t>
      </w:r>
      <w:r w:rsidR="00675335" w:rsidRPr="008D520F">
        <w:rPr>
          <w:sz w:val="20"/>
          <w:lang w:val="en-GB"/>
        </w:rPr>
        <w:t xml:space="preserve">s (n=776) </w:t>
      </w:r>
      <w:r w:rsidR="00675335">
        <w:rPr>
          <w:sz w:val="20"/>
          <w:lang w:val="en-GB"/>
        </w:rPr>
        <w:t>could be</w:t>
      </w:r>
      <w:r w:rsidR="00675335" w:rsidRPr="008D520F">
        <w:rPr>
          <w:sz w:val="20"/>
          <w:lang w:val="en-GB"/>
        </w:rPr>
        <w:t xml:space="preserve"> analy</w:t>
      </w:r>
      <w:r w:rsidR="00675335">
        <w:rPr>
          <w:sz w:val="20"/>
          <w:lang w:val="en-GB"/>
        </w:rPr>
        <w:t>s</w:t>
      </w:r>
      <w:r w:rsidR="00675335" w:rsidRPr="008D520F">
        <w:rPr>
          <w:sz w:val="20"/>
          <w:lang w:val="en-GB"/>
        </w:rPr>
        <w:t xml:space="preserve">ed, allele fractions were doubled to arrive at the percentage of graft (i.e. renal) cfDNA. </w:t>
      </w:r>
      <w:r w:rsidR="00675335" w:rsidRPr="0004774B">
        <w:rPr>
          <w:b/>
          <w:sz w:val="20"/>
          <w:lang w:val="en-GB"/>
        </w:rPr>
        <w:t>b</w:t>
      </w:r>
      <w:r w:rsidR="00675335">
        <w:rPr>
          <w:sz w:val="20"/>
          <w:lang w:val="en-GB"/>
        </w:rPr>
        <w:t>,</w:t>
      </w:r>
      <w:r w:rsidR="00675335" w:rsidRPr="008D520F">
        <w:rPr>
          <w:sz w:val="20"/>
          <w:lang w:val="en-GB"/>
        </w:rPr>
        <w:t xml:space="preserve"> Patient P27 with unrelated donor </w:t>
      </w:r>
      <w:r w:rsidR="00675335">
        <w:rPr>
          <w:sz w:val="20"/>
          <w:lang w:val="en-GB"/>
        </w:rPr>
        <w:t xml:space="preserve">kidney </w:t>
      </w:r>
      <w:r w:rsidR="00675335" w:rsidRPr="008D520F">
        <w:rPr>
          <w:sz w:val="20"/>
          <w:lang w:val="en-GB"/>
        </w:rPr>
        <w:t>transplant (n=1</w:t>
      </w:r>
      <w:r w:rsidR="00675335">
        <w:rPr>
          <w:sz w:val="20"/>
          <w:lang w:val="en-GB"/>
        </w:rPr>
        <w:t>,</w:t>
      </w:r>
      <w:r w:rsidR="00675335" w:rsidRPr="008D520F">
        <w:rPr>
          <w:sz w:val="20"/>
          <w:lang w:val="en-GB"/>
        </w:rPr>
        <w:t xml:space="preserve">326 donor </w:t>
      </w:r>
      <w:r w:rsidR="00675335">
        <w:rPr>
          <w:sz w:val="20"/>
          <w:lang w:val="en-GB"/>
        </w:rPr>
        <w:t>SNP</w:t>
      </w:r>
      <w:r w:rsidR="00675335" w:rsidRPr="008D520F">
        <w:rPr>
          <w:sz w:val="20"/>
          <w:lang w:val="en-GB"/>
        </w:rPr>
        <w:t xml:space="preserve">s). Dots represent allele fractions of individual </w:t>
      </w:r>
      <w:r w:rsidR="00675335">
        <w:rPr>
          <w:sz w:val="20"/>
          <w:lang w:val="en-GB"/>
        </w:rPr>
        <w:t>SNP</w:t>
      </w:r>
      <w:r w:rsidR="00675335" w:rsidRPr="008D520F">
        <w:rPr>
          <w:sz w:val="20"/>
          <w:lang w:val="en-GB"/>
        </w:rPr>
        <w:t>s. Horizontal lines in boxplots represent Q1, median and Q3. Whiskers represent 1.5x interquartile range.</w:t>
      </w:r>
    </w:p>
    <w:p w:rsidR="00242CE3" w:rsidRDefault="00242CE3" w:rsidP="00675335">
      <w:pPr>
        <w:spacing w:after="160" w:line="259" w:lineRule="auto"/>
        <w:jc w:val="both"/>
        <w:rPr>
          <w:sz w:val="20"/>
          <w:lang w:val="en-GB"/>
        </w:rPr>
        <w:sectPr w:rsidR="00242CE3" w:rsidSect="00F550D4">
          <w:pgSz w:w="15840" w:h="12240" w:orient="landscape"/>
          <w:pgMar w:top="1417" w:right="1417" w:bottom="1417" w:left="1134" w:header="708" w:footer="708" w:gutter="0"/>
          <w:cols w:space="708"/>
          <w:docGrid w:linePitch="360"/>
        </w:sectPr>
      </w:pPr>
    </w:p>
    <w:p w:rsidR="00242CE3" w:rsidRDefault="00242CE3" w:rsidP="00242CE3">
      <w:pPr>
        <w:spacing w:after="160" w:line="259" w:lineRule="auto"/>
        <w:ind w:left="-284"/>
        <w:jc w:val="both"/>
        <w:rPr>
          <w:sz w:val="20"/>
          <w:szCs w:val="20"/>
          <w:lang w:val="en-GB"/>
        </w:rPr>
      </w:pPr>
      <w:r w:rsidRPr="001D5538">
        <w:rPr>
          <w:noProof/>
          <w:sz w:val="20"/>
          <w:szCs w:val="20"/>
          <w:lang w:val="en-US"/>
        </w:rPr>
        <w:lastRenderedPageBreak/>
        <w:drawing>
          <wp:anchor distT="0" distB="0" distL="114300" distR="114300" simplePos="0" relativeHeight="251665408" behindDoc="0" locked="0" layoutInCell="1" allowOverlap="1" wp14:anchorId="24EB6083" wp14:editId="74E25236">
            <wp:simplePos x="0" y="0"/>
            <wp:positionH relativeFrom="column">
              <wp:posOffset>-325006</wp:posOffset>
            </wp:positionH>
            <wp:positionV relativeFrom="paragraph">
              <wp:posOffset>28</wp:posOffset>
            </wp:positionV>
            <wp:extent cx="4192512" cy="83820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2512" cy="8382000"/>
                    </a:xfrm>
                    <a:prstGeom prst="rect">
                      <a:avLst/>
                    </a:prstGeom>
                    <a:noFill/>
                  </pic:spPr>
                </pic:pic>
              </a:graphicData>
            </a:graphic>
          </wp:anchor>
        </w:drawing>
      </w:r>
      <w:r w:rsidR="007B786A">
        <w:rPr>
          <w:sz w:val="20"/>
          <w:szCs w:val="20"/>
          <w:lang w:val="en-GB"/>
        </w:rPr>
        <w:t>Fig.</w:t>
      </w:r>
      <w:r>
        <w:rPr>
          <w:sz w:val="20"/>
          <w:szCs w:val="20"/>
          <w:lang w:val="en-GB"/>
        </w:rPr>
        <w:t xml:space="preserve"> S5: Methylation bias by read position in healthy control K19. For both methods, a strong methylation bias is observed at the ends of both reads. The drop-off in methylation calls over the length of read2 is caused by the Bismark tools default --no_overlap behaviour, which discards methylation calls in read2, if the same cytosine was already assessed in read1 of the same fragment. This occurs when fragments are short and both reads overlap in the middle of the insert. </w:t>
      </w:r>
    </w:p>
    <w:p w:rsidR="00242CE3" w:rsidRDefault="00242CE3" w:rsidP="00675335">
      <w:pPr>
        <w:spacing w:after="160" w:line="259" w:lineRule="auto"/>
        <w:rPr>
          <w:lang w:val="en-GB"/>
        </w:rPr>
        <w:sectPr w:rsidR="00242CE3" w:rsidSect="00242CE3">
          <w:pgSz w:w="12240" w:h="15840"/>
          <w:pgMar w:top="1417" w:right="1417" w:bottom="1134" w:left="1417" w:header="708" w:footer="708" w:gutter="0"/>
          <w:cols w:space="708"/>
          <w:docGrid w:linePitch="360"/>
        </w:sectPr>
      </w:pPr>
    </w:p>
    <w:p w:rsidR="006F273E" w:rsidRPr="00FF28C9" w:rsidRDefault="006F273E" w:rsidP="006F273E">
      <w:pPr>
        <w:jc w:val="both"/>
        <w:rPr>
          <w:sz w:val="20"/>
          <w:szCs w:val="20"/>
          <w:lang w:val="en-GB"/>
        </w:rPr>
      </w:pPr>
      <w:r>
        <w:rPr>
          <w:noProof/>
          <w:sz w:val="20"/>
          <w:szCs w:val="20"/>
          <w:lang w:val="en-US"/>
        </w:rPr>
        <w:lastRenderedPageBreak/>
        <w:drawing>
          <wp:inline distT="0" distB="0" distL="0" distR="0" wp14:anchorId="0DF88FF3" wp14:editId="13B70A16">
            <wp:extent cx="6045586" cy="363002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2750" cy="3646335"/>
                    </a:xfrm>
                    <a:prstGeom prst="rect">
                      <a:avLst/>
                    </a:prstGeom>
                    <a:noFill/>
                  </pic:spPr>
                </pic:pic>
              </a:graphicData>
            </a:graphic>
          </wp:inline>
        </w:drawing>
      </w:r>
      <w:r w:rsidRPr="008D520F">
        <w:rPr>
          <w:sz w:val="20"/>
          <w:szCs w:val="20"/>
          <w:lang w:val="en-GB"/>
        </w:rPr>
        <w:t xml:space="preserve"> </w:t>
      </w:r>
      <w:r w:rsidR="007B786A">
        <w:rPr>
          <w:sz w:val="20"/>
          <w:szCs w:val="20"/>
          <w:lang w:val="en-GB"/>
        </w:rPr>
        <w:t>Fig.</w:t>
      </w:r>
      <w:r w:rsidRPr="008D520F">
        <w:rPr>
          <w:sz w:val="20"/>
          <w:szCs w:val="20"/>
          <w:lang w:val="en-GB"/>
        </w:rPr>
        <w:t xml:space="preserve"> S</w:t>
      </w:r>
      <w:r>
        <w:rPr>
          <w:sz w:val="20"/>
          <w:szCs w:val="20"/>
          <w:lang w:val="en-GB"/>
        </w:rPr>
        <w:t>6</w:t>
      </w:r>
      <w:r w:rsidRPr="008D520F">
        <w:rPr>
          <w:sz w:val="20"/>
          <w:szCs w:val="20"/>
          <w:lang w:val="en-GB"/>
        </w:rPr>
        <w:t xml:space="preserve">: </w:t>
      </w:r>
      <w:r>
        <w:rPr>
          <w:sz w:val="20"/>
          <w:szCs w:val="20"/>
          <w:lang w:val="en-GB"/>
        </w:rPr>
        <w:t xml:space="preserve">Discovery cohort: Global methylation comparison between technical and biological (K17) replicates (see Table </w:t>
      </w:r>
      <w:r w:rsidR="00EC3C15">
        <w:rPr>
          <w:sz w:val="20"/>
          <w:szCs w:val="20"/>
          <w:lang w:val="en-GB"/>
        </w:rPr>
        <w:t>S</w:t>
      </w:r>
      <w:r w:rsidR="007909B5">
        <w:rPr>
          <w:sz w:val="20"/>
          <w:szCs w:val="20"/>
          <w:lang w:val="en-GB"/>
        </w:rPr>
        <w:t>7</w:t>
      </w:r>
      <w:r>
        <w:rPr>
          <w:sz w:val="20"/>
          <w:szCs w:val="20"/>
          <w:lang w:val="en-GB"/>
        </w:rPr>
        <w:t xml:space="preserve">). </w:t>
      </w:r>
      <w:r w:rsidRPr="008D520F">
        <w:rPr>
          <w:sz w:val="20"/>
          <w:szCs w:val="20"/>
          <w:lang w:val="en-GB"/>
        </w:rPr>
        <w:t xml:space="preserve">Close agreement between genome-wide CpG methylation levels in sample replicates using the </w:t>
      </w:r>
      <w:r>
        <w:rPr>
          <w:i/>
          <w:sz w:val="20"/>
          <w:szCs w:val="20"/>
          <w:lang w:val="en-GB"/>
        </w:rPr>
        <w:t>cf</w:t>
      </w:r>
      <w:r w:rsidRPr="008D520F">
        <w:rPr>
          <w:i/>
          <w:sz w:val="20"/>
          <w:szCs w:val="20"/>
          <w:lang w:val="en-GB"/>
        </w:rPr>
        <w:t>NOMe</w:t>
      </w:r>
      <w:r w:rsidRPr="008D520F">
        <w:rPr>
          <w:sz w:val="20"/>
          <w:szCs w:val="20"/>
          <w:lang w:val="en-GB"/>
        </w:rPr>
        <w:t xml:space="preserve"> assay and NGS sequencing. </w:t>
      </w:r>
      <w:r>
        <w:rPr>
          <w:sz w:val="20"/>
          <w:szCs w:val="20"/>
          <w:lang w:val="en-GB"/>
        </w:rPr>
        <w:t xml:space="preserve">Both CpG and non-CpG context is shown. </w:t>
      </w:r>
      <w:r w:rsidRPr="008D520F">
        <w:rPr>
          <w:sz w:val="20"/>
          <w:szCs w:val="20"/>
          <w:lang w:val="en-GB"/>
        </w:rPr>
        <w:t xml:space="preserve">For the control sample K17 and patient sample P27, only two replicates of the blood-derived cfDNA were compared. The urine-derived cfDNA of K18 was sequenced </w:t>
      </w:r>
      <w:r>
        <w:rPr>
          <w:sz w:val="20"/>
          <w:szCs w:val="20"/>
          <w:lang w:val="en-GB"/>
        </w:rPr>
        <w:t>from a single library. K16, K17,</w:t>
      </w:r>
      <w:r w:rsidRPr="008D520F">
        <w:rPr>
          <w:sz w:val="20"/>
          <w:szCs w:val="20"/>
          <w:lang w:val="en-GB"/>
        </w:rPr>
        <w:t xml:space="preserve"> K18: healthy controls. P25, P27, P29: acute kidney injury</w:t>
      </w:r>
      <w:r>
        <w:rPr>
          <w:sz w:val="20"/>
          <w:szCs w:val="20"/>
          <w:lang w:val="en-GB"/>
        </w:rPr>
        <w:t>/kidney graft dysfunction patients.</w:t>
      </w:r>
    </w:p>
    <w:p w:rsidR="0056112A" w:rsidRDefault="006F273E" w:rsidP="0056112A">
      <w:pPr>
        <w:spacing w:after="160" w:line="259" w:lineRule="auto"/>
        <w:rPr>
          <w:lang w:val="en-GB"/>
        </w:rPr>
      </w:pPr>
      <w:r>
        <w:rPr>
          <w:lang w:val="en-GB"/>
        </w:rPr>
        <w:br w:type="page"/>
      </w:r>
      <w:r w:rsidR="0056112A">
        <w:rPr>
          <w:noProof/>
          <w:lang w:val="en-US"/>
        </w:rPr>
        <w:lastRenderedPageBreak/>
        <w:drawing>
          <wp:inline distT="0" distB="0" distL="0" distR="0" wp14:anchorId="46C4F128" wp14:editId="0C646D17">
            <wp:extent cx="6029663" cy="362046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1588" cy="3657645"/>
                    </a:xfrm>
                    <a:prstGeom prst="rect">
                      <a:avLst/>
                    </a:prstGeom>
                    <a:noFill/>
                  </pic:spPr>
                </pic:pic>
              </a:graphicData>
            </a:graphic>
          </wp:inline>
        </w:drawing>
      </w:r>
    </w:p>
    <w:p w:rsidR="00242CE3" w:rsidRDefault="007B786A" w:rsidP="0056112A">
      <w:pPr>
        <w:spacing w:after="160" w:line="259" w:lineRule="auto"/>
        <w:jc w:val="both"/>
        <w:rPr>
          <w:sz w:val="20"/>
          <w:lang w:val="en-GB"/>
        </w:rPr>
      </w:pPr>
      <w:r>
        <w:rPr>
          <w:sz w:val="20"/>
          <w:lang w:val="en-GB"/>
        </w:rPr>
        <w:t>Fig.</w:t>
      </w:r>
      <w:r w:rsidR="0056112A" w:rsidRPr="003745DB">
        <w:rPr>
          <w:sz w:val="20"/>
          <w:lang w:val="en-GB"/>
        </w:rPr>
        <w:t xml:space="preserve"> S</w:t>
      </w:r>
      <w:r w:rsidR="0056112A">
        <w:rPr>
          <w:sz w:val="20"/>
          <w:lang w:val="en-GB"/>
        </w:rPr>
        <w:t>7</w:t>
      </w:r>
      <w:r w:rsidR="0056112A" w:rsidRPr="003745DB">
        <w:rPr>
          <w:sz w:val="20"/>
          <w:lang w:val="en-GB"/>
        </w:rPr>
        <w:t xml:space="preserve">: </w:t>
      </w:r>
      <w:r w:rsidR="0056112A">
        <w:rPr>
          <w:sz w:val="20"/>
          <w:lang w:val="en-GB"/>
        </w:rPr>
        <w:t>Replication cohort: Global methylation comparison between different conversion methods. All shown samples were processed and sequenced together</w:t>
      </w:r>
      <w:r w:rsidR="0056112A" w:rsidRPr="003745DB">
        <w:rPr>
          <w:sz w:val="20"/>
          <w:lang w:val="en-GB"/>
        </w:rPr>
        <w:t>.</w:t>
      </w:r>
      <w:r w:rsidR="0056112A">
        <w:rPr>
          <w:sz w:val="20"/>
          <w:lang w:val="en-GB"/>
        </w:rPr>
        <w:t xml:space="preserve"> The measured methylation levels in the sample and positive control was lower in cfNOMe samples, whereas methylation calls in a non-CpG context were increased in the Bisulfite-converted positive controls.</w:t>
      </w:r>
      <w:r w:rsidR="00242CE3">
        <w:rPr>
          <w:sz w:val="20"/>
          <w:lang w:val="en-GB"/>
        </w:rPr>
        <w:br w:type="page"/>
      </w:r>
    </w:p>
    <w:p w:rsidR="00242CE3" w:rsidRDefault="00AE2536" w:rsidP="00242CE3">
      <w:pPr>
        <w:spacing w:after="160" w:line="259" w:lineRule="auto"/>
        <w:rPr>
          <w:lang w:val="en-GB"/>
        </w:rPr>
      </w:pPr>
      <w:r>
        <w:rPr>
          <w:noProof/>
          <w:lang w:val="en-US"/>
        </w:rPr>
        <w:lastRenderedPageBreak/>
        <w:drawing>
          <wp:inline distT="0" distB="0" distL="0" distR="0" wp14:anchorId="5D1D7906">
            <wp:extent cx="6046107" cy="496670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1753" cy="4979558"/>
                    </a:xfrm>
                    <a:prstGeom prst="rect">
                      <a:avLst/>
                    </a:prstGeom>
                    <a:noFill/>
                  </pic:spPr>
                </pic:pic>
              </a:graphicData>
            </a:graphic>
          </wp:inline>
        </w:drawing>
      </w:r>
    </w:p>
    <w:p w:rsidR="00242CE3" w:rsidRDefault="007B786A" w:rsidP="00242CE3">
      <w:pPr>
        <w:spacing w:after="160" w:line="259" w:lineRule="auto"/>
        <w:jc w:val="both"/>
        <w:rPr>
          <w:sz w:val="20"/>
          <w:szCs w:val="20"/>
          <w:lang w:val="en-GB"/>
        </w:rPr>
      </w:pPr>
      <w:r>
        <w:rPr>
          <w:sz w:val="20"/>
          <w:szCs w:val="20"/>
          <w:lang w:val="en-GB"/>
        </w:rPr>
        <w:t>Fig.</w:t>
      </w:r>
      <w:r w:rsidR="00242CE3" w:rsidRPr="006620D4">
        <w:rPr>
          <w:sz w:val="20"/>
          <w:szCs w:val="20"/>
          <w:lang w:val="en-GB"/>
        </w:rPr>
        <w:t xml:space="preserve"> S</w:t>
      </w:r>
      <w:r w:rsidR="00242CE3">
        <w:rPr>
          <w:sz w:val="20"/>
          <w:szCs w:val="20"/>
          <w:lang w:val="en-GB"/>
        </w:rPr>
        <w:t>8</w:t>
      </w:r>
      <w:r w:rsidR="00242CE3" w:rsidRPr="006620D4">
        <w:rPr>
          <w:sz w:val="20"/>
          <w:szCs w:val="20"/>
          <w:lang w:val="en-GB"/>
        </w:rPr>
        <w:t>: CpG and non-CpG methylation levels by genomic position on chromosome 2. Both Bisulfite conversion (</w:t>
      </w:r>
      <w:r w:rsidR="00242CE3" w:rsidRPr="00FF28C9">
        <w:rPr>
          <w:b/>
          <w:sz w:val="20"/>
          <w:szCs w:val="20"/>
          <w:lang w:val="en-GB"/>
        </w:rPr>
        <w:t>a</w:t>
      </w:r>
      <w:r w:rsidR="00242CE3" w:rsidRPr="006620D4">
        <w:rPr>
          <w:sz w:val="20"/>
          <w:szCs w:val="20"/>
          <w:lang w:val="en-GB"/>
        </w:rPr>
        <w:t>) and enzymatic conversion (</w:t>
      </w:r>
      <w:r w:rsidR="00242CE3" w:rsidRPr="00FF28C9">
        <w:rPr>
          <w:b/>
          <w:sz w:val="20"/>
          <w:szCs w:val="20"/>
          <w:lang w:val="en-GB"/>
        </w:rPr>
        <w:t>b</w:t>
      </w:r>
      <w:r w:rsidR="00242CE3" w:rsidRPr="006620D4">
        <w:rPr>
          <w:sz w:val="20"/>
          <w:szCs w:val="20"/>
          <w:lang w:val="en-GB"/>
        </w:rPr>
        <w:t xml:space="preserve">) concordantly reveal </w:t>
      </w:r>
      <w:r w:rsidR="00242CE3">
        <w:rPr>
          <w:sz w:val="20"/>
          <w:szCs w:val="20"/>
          <w:lang w:val="en-GB"/>
        </w:rPr>
        <w:t>the</w:t>
      </w:r>
      <w:r w:rsidR="00242CE3" w:rsidRPr="006620D4">
        <w:rPr>
          <w:sz w:val="20"/>
          <w:szCs w:val="20"/>
          <w:lang w:val="en-GB"/>
        </w:rPr>
        <w:t xml:space="preserve"> complex landscape of CpG-methylation along the length of </w:t>
      </w:r>
      <w:r w:rsidR="00242CE3">
        <w:rPr>
          <w:sz w:val="20"/>
          <w:szCs w:val="20"/>
          <w:lang w:val="en-GB"/>
        </w:rPr>
        <w:t xml:space="preserve">the </w:t>
      </w:r>
      <w:r w:rsidR="00242CE3" w:rsidRPr="006620D4">
        <w:rPr>
          <w:sz w:val="20"/>
          <w:szCs w:val="20"/>
          <w:lang w:val="en-GB"/>
        </w:rPr>
        <w:t xml:space="preserve">chromosome. The context-specific methylation calls of control sample K19 were calculated </w:t>
      </w:r>
      <w:r w:rsidR="00242CE3">
        <w:rPr>
          <w:sz w:val="20"/>
          <w:szCs w:val="20"/>
          <w:lang w:val="en-GB"/>
        </w:rPr>
        <w:t>for 1000bp windows and a running average was plotted along the length of chromosome 2. No methylation calls were made in the centromeric region due to missing alignment.</w:t>
      </w:r>
    </w:p>
    <w:p w:rsidR="00E310BE" w:rsidRDefault="00E310BE" w:rsidP="0056112A">
      <w:pPr>
        <w:spacing w:after="160" w:line="259" w:lineRule="auto"/>
        <w:rPr>
          <w:lang w:val="en-GB"/>
        </w:rPr>
        <w:sectPr w:rsidR="00E310BE" w:rsidSect="00E310BE">
          <w:pgSz w:w="12240" w:h="15840"/>
          <w:pgMar w:top="1417" w:right="1417" w:bottom="1134" w:left="1417" w:header="708" w:footer="708" w:gutter="0"/>
          <w:cols w:space="708"/>
          <w:docGrid w:linePitch="360"/>
        </w:sectPr>
      </w:pPr>
    </w:p>
    <w:p w:rsidR="00242CE3" w:rsidRPr="008D520F" w:rsidRDefault="00AE2536" w:rsidP="00242CE3">
      <w:pPr>
        <w:jc w:val="both"/>
        <w:rPr>
          <w:sz w:val="20"/>
          <w:szCs w:val="28"/>
          <w:lang w:val="en-GB"/>
        </w:rPr>
      </w:pPr>
      <w:r>
        <w:rPr>
          <w:noProof/>
          <w:sz w:val="20"/>
          <w:szCs w:val="28"/>
          <w:lang w:val="en-US"/>
        </w:rPr>
        <w:lastRenderedPageBreak/>
        <w:drawing>
          <wp:inline distT="0" distB="0" distL="0" distR="0" wp14:anchorId="7D1E2410">
            <wp:extent cx="8694420" cy="32823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6328" cy="3298139"/>
                    </a:xfrm>
                    <a:prstGeom prst="rect">
                      <a:avLst/>
                    </a:prstGeom>
                    <a:noFill/>
                  </pic:spPr>
                </pic:pic>
              </a:graphicData>
            </a:graphic>
          </wp:inline>
        </w:drawing>
      </w:r>
    </w:p>
    <w:p w:rsidR="00242CE3" w:rsidRDefault="007B786A" w:rsidP="00242CE3">
      <w:pPr>
        <w:jc w:val="both"/>
        <w:rPr>
          <w:sz w:val="20"/>
          <w:szCs w:val="28"/>
          <w:lang w:val="en-GB"/>
        </w:rPr>
        <w:sectPr w:rsidR="00242CE3" w:rsidSect="00F41DE7">
          <w:pgSz w:w="15840" w:h="12240" w:orient="landscape"/>
          <w:pgMar w:top="1417" w:right="1417" w:bottom="1417" w:left="1134" w:header="708" w:footer="708" w:gutter="0"/>
          <w:cols w:space="708"/>
          <w:docGrid w:linePitch="360"/>
        </w:sectPr>
      </w:pPr>
      <w:r>
        <w:rPr>
          <w:sz w:val="20"/>
          <w:szCs w:val="28"/>
          <w:lang w:val="en-GB"/>
        </w:rPr>
        <w:t>Fig.</w:t>
      </w:r>
      <w:r w:rsidR="00242CE3" w:rsidRPr="008D520F">
        <w:rPr>
          <w:sz w:val="20"/>
          <w:szCs w:val="28"/>
          <w:lang w:val="en-GB"/>
        </w:rPr>
        <w:t xml:space="preserve"> S</w:t>
      </w:r>
      <w:r w:rsidR="00242CE3">
        <w:rPr>
          <w:sz w:val="20"/>
          <w:szCs w:val="28"/>
          <w:lang w:val="en-GB"/>
        </w:rPr>
        <w:t>9</w:t>
      </w:r>
      <w:r w:rsidR="00242CE3" w:rsidRPr="008D520F">
        <w:rPr>
          <w:sz w:val="20"/>
          <w:szCs w:val="28"/>
          <w:lang w:val="en-GB"/>
        </w:rPr>
        <w:t>: Clustermap of the methylation profiles of 25 reference tissues and 7890 tissue-specific CpG loci from Moss and colleagues</w:t>
      </w:r>
      <w:r w:rsidR="00242CE3" w:rsidRPr="008D520F">
        <w:rPr>
          <w:sz w:val="20"/>
          <w:szCs w:val="28"/>
          <w:lang w:val="en-GB"/>
        </w:rPr>
        <w:fldChar w:fldCharType="begin">
          <w:fldData xml:space="preserve">PEVuZE5vdGU+PENpdGU+PEF1dGhvcj5Nb3NzPC9BdXRob3I+PFllYXI+MjAxODwvWWVhcj48UmVj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L2FsdC1wZXJpb2RpY2FsPjxwYWdlcz41MDY4PC9wYWdlcz48dm9sdW1lPjk8L3ZvbHVtZT48bnVt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</w:fldData>
        </w:fldChar>
      </w:r>
      <w:r w:rsidR="00242CE3">
        <w:rPr>
          <w:sz w:val="20"/>
          <w:szCs w:val="28"/>
          <w:lang w:val="en-GB"/>
        </w:rPr>
        <w:instrText xml:space="preserve"> ADDIN EN.CITE </w:instrText>
      </w:r>
      <w:r w:rsidR="00242CE3">
        <w:rPr>
          <w:sz w:val="20"/>
          <w:szCs w:val="28"/>
          <w:lang w:val="en-GB"/>
        </w:rPr>
        <w:fldChar w:fldCharType="begin">
          <w:fldData xml:space="preserve">PEVuZE5vdGU+PENpdGU+PEF1dGhvcj5Nb3NzPC9BdXRob3I+PFllYXI+MjAxODwvWWVhcj48UmVj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L2FsdC1wZXJpb2RpY2FsPjxwYWdlcz41MDY4PC9wYWdlcz48dm9sdW1lPjk8L3ZvbHVtZT48bnVt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</w:fldData>
        </w:fldChar>
      </w:r>
      <w:r w:rsidR="00242CE3">
        <w:rPr>
          <w:sz w:val="20"/>
          <w:szCs w:val="28"/>
          <w:lang w:val="en-GB"/>
        </w:rPr>
        <w:instrText xml:space="preserve"> ADDIN EN.CITE.DATA </w:instrText>
      </w:r>
      <w:r w:rsidR="00242CE3">
        <w:rPr>
          <w:sz w:val="20"/>
          <w:szCs w:val="28"/>
          <w:lang w:val="en-GB"/>
        </w:rPr>
      </w:r>
      <w:r w:rsidR="00242CE3">
        <w:rPr>
          <w:sz w:val="20"/>
          <w:szCs w:val="28"/>
          <w:lang w:val="en-GB"/>
        </w:rPr>
        <w:fldChar w:fldCharType="end"/>
      </w:r>
      <w:r w:rsidR="00242CE3" w:rsidRPr="008D520F">
        <w:rPr>
          <w:sz w:val="20"/>
          <w:szCs w:val="28"/>
          <w:lang w:val="en-GB"/>
        </w:rPr>
      </w:r>
      <w:r w:rsidR="00242CE3" w:rsidRPr="008D520F">
        <w:rPr>
          <w:sz w:val="20"/>
          <w:szCs w:val="28"/>
          <w:lang w:val="en-GB"/>
        </w:rPr>
        <w:fldChar w:fldCharType="separate"/>
      </w:r>
      <w:r w:rsidR="00242CE3">
        <w:rPr>
          <w:noProof/>
          <w:sz w:val="20"/>
          <w:szCs w:val="28"/>
          <w:lang w:val="en-GB"/>
        </w:rPr>
        <w:t>[1]</w:t>
      </w:r>
      <w:r w:rsidR="00242CE3" w:rsidRPr="008D520F">
        <w:rPr>
          <w:sz w:val="20"/>
          <w:szCs w:val="28"/>
          <w:lang w:val="en-GB"/>
        </w:rPr>
        <w:fldChar w:fldCharType="end"/>
      </w:r>
      <w:r w:rsidR="00242CE3" w:rsidRPr="008D520F">
        <w:rPr>
          <w:sz w:val="20"/>
          <w:szCs w:val="28"/>
          <w:lang w:val="en-GB"/>
        </w:rPr>
        <w:t>. Biologically similar tissues (e.g. lymphoid and myeloid cells, different pancreatic cell subtypes) cluster together as expected. Light blue: low methylation grade, dark blue: high methylation grade.</w:t>
      </w:r>
    </w:p>
    <w:p w:rsidR="00242CE3" w:rsidRPr="008D520F" w:rsidRDefault="00242CE3" w:rsidP="00242CE3">
      <w:pPr>
        <w:jc w:val="both"/>
        <w:rPr>
          <w:sz w:val="20"/>
          <w:lang w:val="en-GB"/>
        </w:rPr>
      </w:pPr>
      <w:r>
        <w:rPr>
          <w:noProof/>
          <w:sz w:val="20"/>
          <w:lang w:val="en-US"/>
        </w:rPr>
        <w:lastRenderedPageBreak/>
        <w:drawing>
          <wp:inline distT="0" distB="0" distL="0" distR="0" wp14:anchorId="5A8F80B3" wp14:editId="4E492898">
            <wp:extent cx="6490557" cy="61218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3113" cy="6143074"/>
                    </a:xfrm>
                    <a:prstGeom prst="rect">
                      <a:avLst/>
                    </a:prstGeom>
                    <a:noFill/>
                  </pic:spPr>
                </pic:pic>
              </a:graphicData>
            </a:graphic>
          </wp:inline>
        </w:drawing>
      </w:r>
      <w:r w:rsidR="007B786A">
        <w:rPr>
          <w:sz w:val="20"/>
          <w:lang w:val="en-GB"/>
        </w:rPr>
        <w:t>Fig.</w:t>
      </w:r>
      <w:r w:rsidRPr="008D520F">
        <w:rPr>
          <w:sz w:val="20"/>
          <w:lang w:val="en-GB"/>
        </w:rPr>
        <w:t xml:space="preserve"> S</w:t>
      </w:r>
      <w:r>
        <w:rPr>
          <w:sz w:val="20"/>
          <w:lang w:val="en-GB"/>
        </w:rPr>
        <w:t>10</w:t>
      </w:r>
      <w:r w:rsidRPr="008D520F">
        <w:rPr>
          <w:sz w:val="20"/>
          <w:lang w:val="en-GB"/>
        </w:rPr>
        <w:t xml:space="preserve">: Agreement of pyrosequencing and NGS cytosine methylation analysis results (n=34 measurement pairs in </w:t>
      </w:r>
      <w:r>
        <w:rPr>
          <w:sz w:val="20"/>
          <w:lang w:val="en-GB"/>
        </w:rPr>
        <w:t xml:space="preserve">merged blood and urine samples of healthy controls K16 and K17, as well as of patient P25; six loci of interest in </w:t>
      </w:r>
      <w:r w:rsidRPr="00703DAA">
        <w:rPr>
          <w:i/>
          <w:sz w:val="20"/>
          <w:lang w:val="en-GB"/>
        </w:rPr>
        <w:t>SLC34A1</w:t>
      </w:r>
      <w:r w:rsidRPr="00703DAA">
        <w:rPr>
          <w:sz w:val="20"/>
          <w:lang w:val="en-GB"/>
        </w:rPr>
        <w:t xml:space="preserve">, </w:t>
      </w:r>
      <w:r w:rsidRPr="00703DAA">
        <w:rPr>
          <w:i/>
          <w:sz w:val="20"/>
          <w:lang w:val="en-GB"/>
        </w:rPr>
        <w:t xml:space="preserve">UMOD </w:t>
      </w:r>
      <w:r w:rsidRPr="00703DAA">
        <w:rPr>
          <w:sz w:val="20"/>
          <w:lang w:val="en-GB"/>
        </w:rPr>
        <w:t xml:space="preserve">and </w:t>
      </w:r>
      <w:r w:rsidRPr="00703DAA">
        <w:rPr>
          <w:i/>
          <w:sz w:val="20"/>
          <w:lang w:val="en-GB"/>
        </w:rPr>
        <w:t>CTXN3</w:t>
      </w:r>
      <w:r>
        <w:rPr>
          <w:sz w:val="20"/>
          <w:lang w:val="en-GB"/>
        </w:rPr>
        <w:t xml:space="preserve"> were studied in all samples, except for the P25 blood sample, for which four loci of interest could be pyrosequenced</w:t>
      </w:r>
      <w:r w:rsidRPr="008D520F">
        <w:rPr>
          <w:sz w:val="20"/>
          <w:lang w:val="en-GB"/>
        </w:rPr>
        <w:t xml:space="preserve">). There is a close correlation between CpG methylation levels as measured by pyrosequencing and as calculated from NGS data. Pyrosequencing done in triplicate. </w:t>
      </w:r>
      <w:r>
        <w:rPr>
          <w:sz w:val="20"/>
          <w:lang w:val="en-GB"/>
        </w:rPr>
        <w:t xml:space="preserve">Error bars represent SEM. </w:t>
      </w:r>
      <w:r w:rsidRPr="008D520F">
        <w:rPr>
          <w:sz w:val="20"/>
          <w:lang w:val="en-GB"/>
        </w:rPr>
        <w:t xml:space="preserve">Shaded area represents </w:t>
      </w:r>
      <w:r>
        <w:rPr>
          <w:sz w:val="20"/>
          <w:lang w:val="en-GB"/>
        </w:rPr>
        <w:t xml:space="preserve">the </w:t>
      </w:r>
      <w:r w:rsidRPr="008D520F">
        <w:rPr>
          <w:sz w:val="20"/>
          <w:lang w:val="en-GB"/>
        </w:rPr>
        <w:t xml:space="preserve">95% confidence </w:t>
      </w:r>
      <w:r>
        <w:rPr>
          <w:sz w:val="20"/>
          <w:lang w:val="en-GB"/>
        </w:rPr>
        <w:t>band of the regression model</w:t>
      </w:r>
      <w:r w:rsidRPr="008D520F">
        <w:rPr>
          <w:sz w:val="20"/>
          <w:lang w:val="en-GB"/>
        </w:rPr>
        <w:t>.</w:t>
      </w:r>
    </w:p>
    <w:p w:rsidR="00242CE3" w:rsidRDefault="00242CE3" w:rsidP="00242CE3">
      <w:pPr>
        <w:jc w:val="both"/>
        <w:rPr>
          <w:sz w:val="20"/>
          <w:szCs w:val="28"/>
          <w:lang w:val="en-GB"/>
        </w:rPr>
        <w:sectPr w:rsidR="00242CE3" w:rsidSect="00242CE3">
          <w:pgSz w:w="12240" w:h="15840"/>
          <w:pgMar w:top="1417" w:right="1417" w:bottom="1134" w:left="1417" w:header="708" w:footer="708" w:gutter="0"/>
          <w:cols w:space="708"/>
          <w:docGrid w:linePitch="360"/>
        </w:sectPr>
      </w:pPr>
    </w:p>
    <w:p w:rsidR="00242CE3" w:rsidRDefault="00242CE3" w:rsidP="00242CE3">
      <w:pPr>
        <w:spacing w:after="160" w:line="259" w:lineRule="auto"/>
        <w:rPr>
          <w:lang w:val="en-GB"/>
        </w:rPr>
      </w:pPr>
      <w:r>
        <w:rPr>
          <w:noProof/>
          <w:lang w:val="en-US"/>
        </w:rPr>
        <w:lastRenderedPageBreak/>
        <w:drawing>
          <wp:inline distT="0" distB="0" distL="0" distR="0" wp14:anchorId="609685F9" wp14:editId="099E9A9F">
            <wp:extent cx="8461647" cy="3639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81203" cy="3647442"/>
                    </a:xfrm>
                    <a:prstGeom prst="rect">
                      <a:avLst/>
                    </a:prstGeom>
                    <a:noFill/>
                  </pic:spPr>
                </pic:pic>
              </a:graphicData>
            </a:graphic>
          </wp:inline>
        </w:drawing>
      </w:r>
    </w:p>
    <w:p w:rsidR="00242CE3" w:rsidRDefault="007B786A" w:rsidP="00242CE3">
      <w:pPr>
        <w:spacing w:after="160" w:line="259" w:lineRule="auto"/>
        <w:jc w:val="both"/>
        <w:rPr>
          <w:noProof/>
          <w:sz w:val="20"/>
          <w:szCs w:val="20"/>
          <w:lang w:eastAsia="de-DE"/>
        </w:rPr>
      </w:pPr>
      <w:r>
        <w:rPr>
          <w:sz w:val="20"/>
          <w:lang w:val="en-GB"/>
        </w:rPr>
        <w:t>Fig.</w:t>
      </w:r>
      <w:r w:rsidR="00242CE3" w:rsidRPr="00F550D4">
        <w:rPr>
          <w:sz w:val="20"/>
          <w:lang w:val="en-GB"/>
        </w:rPr>
        <w:t xml:space="preserve"> S</w:t>
      </w:r>
      <w:r w:rsidR="00242CE3">
        <w:rPr>
          <w:sz w:val="20"/>
          <w:lang w:val="en-GB"/>
        </w:rPr>
        <w:t>11</w:t>
      </w:r>
      <w:r w:rsidR="00242CE3" w:rsidRPr="00F550D4">
        <w:rPr>
          <w:sz w:val="20"/>
          <w:lang w:val="en-GB"/>
        </w:rPr>
        <w:t xml:space="preserve">: Cohort and experimental overview. </w:t>
      </w:r>
      <w:r w:rsidR="00242CE3">
        <w:rPr>
          <w:sz w:val="20"/>
          <w:lang w:val="en-GB"/>
        </w:rPr>
        <w:t xml:space="preserve">Six controls (K16-K21) were analysed. </w:t>
      </w:r>
      <w:r w:rsidR="00242CE3">
        <w:rPr>
          <w:noProof/>
          <w:sz w:val="20"/>
          <w:szCs w:val="20"/>
          <w:lang w:eastAsia="de-DE"/>
        </w:rPr>
        <w:t xml:space="preserve">Three samples from healthy controls (K19-K21) were split prior to conversion and then processed with Bisulfite conversion and enzymatic conversion in parallel. </w:t>
      </w:r>
      <w:r w:rsidR="00242CE3">
        <w:rPr>
          <w:sz w:val="20"/>
          <w:lang w:val="en-GB"/>
        </w:rPr>
        <w:t>Blood/urine availability permitting</w:t>
      </w:r>
      <w:r w:rsidR="00242CE3" w:rsidRPr="00F550D4">
        <w:rPr>
          <w:sz w:val="20"/>
          <w:lang w:val="en-GB"/>
        </w:rPr>
        <w:t xml:space="preserve">, samples were drawn in triplicate, processed separately and then analysed both individually and after merging. </w:t>
      </w:r>
      <w:r w:rsidR="00242CE3">
        <w:rPr>
          <w:sz w:val="20"/>
          <w:lang w:val="en-GB"/>
        </w:rPr>
        <w:t>One subgroup of three p</w:t>
      </w:r>
      <w:r w:rsidR="00242CE3" w:rsidRPr="00F550D4">
        <w:rPr>
          <w:sz w:val="20"/>
          <w:lang w:val="en-GB"/>
        </w:rPr>
        <w:t>atients</w:t>
      </w:r>
      <w:r w:rsidR="00242CE3">
        <w:rPr>
          <w:sz w:val="20"/>
          <w:lang w:val="en-GB"/>
        </w:rPr>
        <w:t xml:space="preserve"> (P25, P27, P29)</w:t>
      </w:r>
      <w:r w:rsidR="00242CE3" w:rsidRPr="00F550D4">
        <w:rPr>
          <w:sz w:val="20"/>
          <w:lang w:val="en-GB"/>
        </w:rPr>
        <w:t xml:space="preserve"> with </w:t>
      </w:r>
      <w:r w:rsidR="00242CE3">
        <w:rPr>
          <w:sz w:val="20"/>
          <w:lang w:val="en-GB"/>
        </w:rPr>
        <w:t>acute kidney injury or acute kidney graft dysfunction (AKI/AGD)</w:t>
      </w:r>
      <w:r w:rsidR="00242CE3" w:rsidRPr="00F550D4">
        <w:rPr>
          <w:sz w:val="20"/>
          <w:lang w:val="en-GB"/>
        </w:rPr>
        <w:t xml:space="preserve">, </w:t>
      </w:r>
      <w:r w:rsidR="00242CE3">
        <w:rPr>
          <w:sz w:val="20"/>
          <w:lang w:val="en-GB"/>
        </w:rPr>
        <w:t xml:space="preserve">as well as </w:t>
      </w:r>
      <w:r w:rsidR="00242CE3" w:rsidRPr="00F550D4">
        <w:rPr>
          <w:sz w:val="20"/>
          <w:lang w:val="en-GB"/>
        </w:rPr>
        <w:t xml:space="preserve">a group of </w:t>
      </w:r>
      <w:r w:rsidR="00242CE3">
        <w:rPr>
          <w:sz w:val="20"/>
          <w:lang w:val="en-GB"/>
        </w:rPr>
        <w:t xml:space="preserve">three </w:t>
      </w:r>
      <w:r w:rsidR="00242CE3" w:rsidRPr="00F550D4">
        <w:rPr>
          <w:sz w:val="20"/>
          <w:lang w:val="en-GB"/>
        </w:rPr>
        <w:t xml:space="preserve">patients with </w:t>
      </w:r>
      <w:r w:rsidR="00242CE3">
        <w:rPr>
          <w:sz w:val="20"/>
          <w:lang w:val="en-GB"/>
        </w:rPr>
        <w:t xml:space="preserve">progressive </w:t>
      </w:r>
      <w:r w:rsidR="00242CE3" w:rsidRPr="00F550D4">
        <w:rPr>
          <w:sz w:val="20"/>
          <w:lang w:val="en-GB"/>
        </w:rPr>
        <w:t xml:space="preserve">chronic </w:t>
      </w:r>
      <w:r w:rsidR="00242CE3">
        <w:rPr>
          <w:noProof/>
          <w:sz w:val="20"/>
          <w:szCs w:val="20"/>
          <w:lang w:eastAsia="de-DE"/>
        </w:rPr>
        <w:t>kidney disease (P31, polycystic kidneys) or endstage renal disease (P30, status post atypical hemolytic uremic syndrome with acute pancreatitis and P32, primary hyperoxaluria type 1 with bone oxalosis) without and with extrarenal manifestations of tissue dysfunction were selected. Urine was analysed in the discovery cohort (K16, K17, K18, P25, P27, P29) only.</w:t>
      </w:r>
    </w:p>
    <w:p w:rsidR="00242CE3" w:rsidRDefault="00242CE3" w:rsidP="00242CE3">
      <w:pPr>
        <w:spacing w:after="160" w:line="259" w:lineRule="auto"/>
        <w:jc w:val="both"/>
        <w:rPr>
          <w:noProof/>
          <w:sz w:val="20"/>
          <w:szCs w:val="20"/>
          <w:lang w:eastAsia="de-DE"/>
        </w:rPr>
      </w:pPr>
      <w:r>
        <w:rPr>
          <w:noProof/>
          <w:sz w:val="20"/>
          <w:szCs w:val="20"/>
          <w:lang w:eastAsia="de-DE"/>
        </w:rPr>
        <w:t>*: one blood replicate of patient K17 was hemolytic. As we observed high levels of contamination with genomic DNA, this sample was not deep-sequenced.</w:t>
      </w:r>
    </w:p>
    <w:p w:rsidR="00242CE3" w:rsidRDefault="00242CE3" w:rsidP="00242CE3">
      <w:pPr>
        <w:spacing w:after="160" w:line="259" w:lineRule="auto"/>
        <w:rPr>
          <w:noProof/>
          <w:sz w:val="20"/>
          <w:szCs w:val="20"/>
          <w:lang w:eastAsia="de-DE"/>
        </w:rPr>
      </w:pPr>
    </w:p>
    <w:p w:rsidR="00242CE3" w:rsidRPr="00F550D4" w:rsidRDefault="00242CE3" w:rsidP="00242CE3">
      <w:pPr>
        <w:spacing w:after="160" w:line="259" w:lineRule="auto"/>
        <w:jc w:val="both"/>
        <w:rPr>
          <w:noProof/>
          <w:sz w:val="20"/>
          <w:szCs w:val="20"/>
          <w:lang w:eastAsia="de-DE"/>
        </w:rPr>
        <w:sectPr w:rsidR="00242CE3" w:rsidRPr="00F550D4" w:rsidSect="00F550D4">
          <w:pgSz w:w="15840" w:h="12240" w:orient="landscape"/>
          <w:pgMar w:top="1417" w:right="1417" w:bottom="1417" w:left="1134" w:header="708" w:footer="708" w:gutter="0"/>
          <w:cols w:space="708"/>
          <w:docGrid w:linePitch="360"/>
        </w:sectPr>
      </w:pPr>
    </w:p>
    <w:p w:rsidR="00211684" w:rsidRDefault="00E00973">
      <w:pPr>
        <w:spacing w:after="160" w:line="259" w:lineRule="auto"/>
        <w:rPr>
          <w:sz w:val="20"/>
          <w:lang w:val="en-GB"/>
        </w:rPr>
      </w:pPr>
      <w:r>
        <w:rPr>
          <w:noProof/>
          <w:sz w:val="20"/>
          <w:lang w:val="en-US"/>
        </w:rPr>
        <w:lastRenderedPageBreak/>
        <w:drawing>
          <wp:inline distT="0" distB="0" distL="0" distR="0" wp14:anchorId="49E7DD60">
            <wp:extent cx="8509811" cy="348913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64072" cy="3511381"/>
                    </a:xfrm>
                    <a:prstGeom prst="rect">
                      <a:avLst/>
                    </a:prstGeom>
                    <a:noFill/>
                  </pic:spPr>
                </pic:pic>
              </a:graphicData>
            </a:graphic>
          </wp:inline>
        </w:drawing>
      </w:r>
    </w:p>
    <w:p w:rsidR="00E00973" w:rsidRDefault="00E00973">
      <w:pPr>
        <w:spacing w:after="160" w:line="259" w:lineRule="auto"/>
        <w:rPr>
          <w:sz w:val="20"/>
          <w:lang w:val="en-GB"/>
        </w:rPr>
      </w:pPr>
    </w:p>
    <w:p w:rsidR="00003087" w:rsidRDefault="007B786A" w:rsidP="001B3E6E">
      <w:pPr>
        <w:spacing w:after="160" w:line="259" w:lineRule="auto"/>
        <w:jc w:val="both"/>
        <w:rPr>
          <w:sz w:val="20"/>
          <w:lang w:val="en-GB"/>
        </w:rPr>
      </w:pPr>
      <w:r>
        <w:rPr>
          <w:sz w:val="20"/>
          <w:lang w:val="en-GB"/>
        </w:rPr>
        <w:t>Fig.</w:t>
      </w:r>
      <w:r w:rsidR="001B3E6E">
        <w:rPr>
          <w:sz w:val="20"/>
          <w:lang w:val="en-GB"/>
        </w:rPr>
        <w:t xml:space="preserve"> S</w:t>
      </w:r>
      <w:r w:rsidR="00AD466D">
        <w:rPr>
          <w:sz w:val="20"/>
          <w:lang w:val="en-GB"/>
        </w:rPr>
        <w:t>12</w:t>
      </w:r>
      <w:r w:rsidR="001B3E6E">
        <w:rPr>
          <w:sz w:val="20"/>
          <w:lang w:val="en-GB"/>
        </w:rPr>
        <w:t xml:space="preserve">: Number of CpG positions covered at least 1x in cfNOMe vs. Bisulfite sequencing. cfNOMe achieves coverage of more CpG than Bisulfite at the same level of sequencing. Even in very large datasets (&gt;500 million reads), Bisulfite converted libraries leave approximately </w:t>
      </w:r>
      <w:r w:rsidR="000E1B5B">
        <w:rPr>
          <w:sz w:val="20"/>
          <w:lang w:val="en-GB"/>
        </w:rPr>
        <w:t>4 million</w:t>
      </w:r>
      <w:r w:rsidR="001B3E6E">
        <w:rPr>
          <w:sz w:val="20"/>
          <w:lang w:val="en-GB"/>
        </w:rPr>
        <w:t xml:space="preserve"> CpGs </w:t>
      </w:r>
      <w:r w:rsidR="000E1B5B">
        <w:rPr>
          <w:sz w:val="20"/>
          <w:lang w:val="en-GB"/>
        </w:rPr>
        <w:t xml:space="preserve">(~14%) </w:t>
      </w:r>
      <w:r w:rsidR="001B3E6E">
        <w:rPr>
          <w:sz w:val="20"/>
          <w:lang w:val="en-GB"/>
        </w:rPr>
        <w:t xml:space="preserve">uncovered. A total of </w:t>
      </w:r>
      <w:r w:rsidR="001B3E6E" w:rsidRPr="001B3E6E">
        <w:rPr>
          <w:sz w:val="20"/>
          <w:lang w:val="en-GB"/>
        </w:rPr>
        <w:t>28</w:t>
      </w:r>
      <w:r w:rsidR="001B3E6E">
        <w:rPr>
          <w:sz w:val="20"/>
          <w:lang w:val="en-GB"/>
        </w:rPr>
        <w:t>,</w:t>
      </w:r>
      <w:r w:rsidR="001B3E6E" w:rsidRPr="001B3E6E">
        <w:rPr>
          <w:sz w:val="20"/>
          <w:lang w:val="en-GB"/>
        </w:rPr>
        <w:t>217</w:t>
      </w:r>
      <w:r w:rsidR="001B3E6E">
        <w:rPr>
          <w:sz w:val="20"/>
          <w:lang w:val="en-GB"/>
        </w:rPr>
        <w:t>,</w:t>
      </w:r>
      <w:r w:rsidR="001B3E6E" w:rsidRPr="001B3E6E">
        <w:rPr>
          <w:sz w:val="20"/>
          <w:lang w:val="en-GB"/>
        </w:rPr>
        <w:t>448</w:t>
      </w:r>
      <w:r w:rsidR="001B3E6E">
        <w:rPr>
          <w:sz w:val="20"/>
          <w:lang w:val="en-GB"/>
        </w:rPr>
        <w:t xml:space="preserve"> CpG genome-wide were studied (represented by dashed red line). Larger sequencing datasets were downsampled to 1×10</w:t>
      </w:r>
      <w:r w:rsidR="001B3E6E" w:rsidRPr="001B3E6E">
        <w:rPr>
          <w:sz w:val="20"/>
          <w:vertAlign w:val="superscript"/>
          <w:lang w:val="en-GB"/>
        </w:rPr>
        <w:t>6</w:t>
      </w:r>
      <w:r w:rsidR="001B3E6E">
        <w:rPr>
          <w:sz w:val="20"/>
          <w:lang w:val="en-GB"/>
        </w:rPr>
        <w:t>, 2×10</w:t>
      </w:r>
      <w:r w:rsidR="001B3E6E" w:rsidRPr="001B3E6E">
        <w:rPr>
          <w:sz w:val="20"/>
          <w:vertAlign w:val="superscript"/>
          <w:lang w:val="en-GB"/>
        </w:rPr>
        <w:t>6</w:t>
      </w:r>
      <w:r w:rsidR="001B3E6E">
        <w:rPr>
          <w:sz w:val="20"/>
          <w:lang w:val="en-GB"/>
        </w:rPr>
        <w:t>, 5×10</w:t>
      </w:r>
      <w:r w:rsidR="001B3E6E" w:rsidRPr="001B3E6E">
        <w:rPr>
          <w:sz w:val="20"/>
          <w:vertAlign w:val="superscript"/>
          <w:lang w:val="en-GB"/>
        </w:rPr>
        <w:t>6</w:t>
      </w:r>
      <w:r w:rsidR="001B3E6E">
        <w:rPr>
          <w:sz w:val="20"/>
          <w:lang w:val="en-GB"/>
        </w:rPr>
        <w:t>, 1×10</w:t>
      </w:r>
      <w:r w:rsidR="001F51B7">
        <w:rPr>
          <w:sz w:val="20"/>
          <w:vertAlign w:val="superscript"/>
          <w:lang w:val="en-GB"/>
        </w:rPr>
        <w:t>7</w:t>
      </w:r>
      <w:r w:rsidR="001B3E6E">
        <w:rPr>
          <w:sz w:val="20"/>
          <w:lang w:val="en-GB"/>
        </w:rPr>
        <w:t>, 2×10</w:t>
      </w:r>
      <w:r w:rsidR="001F51B7">
        <w:rPr>
          <w:sz w:val="20"/>
          <w:vertAlign w:val="superscript"/>
          <w:lang w:val="en-GB"/>
        </w:rPr>
        <w:t>7</w:t>
      </w:r>
      <w:r w:rsidR="001B3E6E">
        <w:rPr>
          <w:sz w:val="20"/>
          <w:lang w:val="en-GB"/>
        </w:rPr>
        <w:t>, 5×10</w:t>
      </w:r>
      <w:r w:rsidR="001F51B7">
        <w:rPr>
          <w:sz w:val="20"/>
          <w:vertAlign w:val="superscript"/>
          <w:lang w:val="en-GB"/>
        </w:rPr>
        <w:t>7</w:t>
      </w:r>
      <w:r w:rsidR="001B3E6E">
        <w:rPr>
          <w:sz w:val="20"/>
          <w:lang w:val="en-GB"/>
        </w:rPr>
        <w:t xml:space="preserve"> and 1×10</w:t>
      </w:r>
      <w:r w:rsidR="001F51B7">
        <w:rPr>
          <w:sz w:val="20"/>
          <w:vertAlign w:val="superscript"/>
          <w:lang w:val="en-GB"/>
        </w:rPr>
        <w:t>8</w:t>
      </w:r>
      <w:r w:rsidR="001B3E6E">
        <w:rPr>
          <w:sz w:val="20"/>
          <w:lang w:val="en-GB"/>
        </w:rPr>
        <w:t xml:space="preserve"> </w:t>
      </w:r>
      <w:r w:rsidR="00003087">
        <w:rPr>
          <w:sz w:val="20"/>
          <w:lang w:val="en-GB"/>
        </w:rPr>
        <w:t xml:space="preserve">aligned </w:t>
      </w:r>
      <w:r w:rsidR="001F51B7">
        <w:rPr>
          <w:sz w:val="20"/>
          <w:lang w:val="en-GB"/>
        </w:rPr>
        <w:t>reads. E</w:t>
      </w:r>
      <w:r w:rsidR="001B3E6E">
        <w:rPr>
          <w:sz w:val="20"/>
          <w:lang w:val="en-GB"/>
        </w:rPr>
        <w:t xml:space="preserve">ach CpG was </w:t>
      </w:r>
      <w:r w:rsidR="001F51B7">
        <w:rPr>
          <w:sz w:val="20"/>
          <w:lang w:val="en-GB"/>
        </w:rPr>
        <w:t xml:space="preserve">then </w:t>
      </w:r>
      <w:r w:rsidR="001B3E6E">
        <w:rPr>
          <w:sz w:val="20"/>
          <w:lang w:val="en-GB"/>
        </w:rPr>
        <w:t xml:space="preserve">assessed for </w:t>
      </w:r>
      <w:r w:rsidR="001D5538">
        <w:rPr>
          <w:sz w:val="20"/>
          <w:lang w:val="en-GB"/>
        </w:rPr>
        <w:t xml:space="preserve">the presence of any overlapping read in </w:t>
      </w:r>
      <w:r w:rsidR="001B3E6E">
        <w:rPr>
          <w:sz w:val="20"/>
          <w:lang w:val="en-GB"/>
        </w:rPr>
        <w:t>the downsampled datasets as well as the complete datasets.</w:t>
      </w:r>
      <w:r w:rsidR="009E66E5">
        <w:rPr>
          <w:sz w:val="20"/>
          <w:lang w:val="en-GB"/>
        </w:rPr>
        <w:t xml:space="preserve"> All datasets are included.</w:t>
      </w:r>
    </w:p>
    <w:p w:rsidR="00003087" w:rsidRDefault="00003087">
      <w:pPr>
        <w:spacing w:after="160" w:line="259" w:lineRule="auto"/>
        <w:rPr>
          <w:sz w:val="20"/>
          <w:lang w:val="en-GB"/>
        </w:rPr>
      </w:pPr>
      <w:r>
        <w:rPr>
          <w:sz w:val="20"/>
          <w:lang w:val="en-GB"/>
        </w:rPr>
        <w:br w:type="page"/>
      </w:r>
    </w:p>
    <w:p w:rsidR="00003087" w:rsidRDefault="00003087" w:rsidP="001B3E6E">
      <w:pPr>
        <w:spacing w:after="160" w:line="259" w:lineRule="auto"/>
        <w:jc w:val="both"/>
        <w:rPr>
          <w:sz w:val="20"/>
          <w:lang w:val="en-GB"/>
        </w:rPr>
      </w:pPr>
      <w:r>
        <w:rPr>
          <w:noProof/>
          <w:sz w:val="20"/>
          <w:lang w:val="en-US"/>
        </w:rPr>
        <w:lastRenderedPageBreak/>
        <w:drawing>
          <wp:inline distT="0" distB="0" distL="0" distR="0" wp14:anchorId="2645D9CC">
            <wp:extent cx="8546168" cy="377872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5578" cy="3791731"/>
                    </a:xfrm>
                    <a:prstGeom prst="rect">
                      <a:avLst/>
                    </a:prstGeom>
                    <a:noFill/>
                  </pic:spPr>
                </pic:pic>
              </a:graphicData>
            </a:graphic>
          </wp:inline>
        </w:drawing>
      </w:r>
    </w:p>
    <w:p w:rsidR="00003087" w:rsidRDefault="007B786A" w:rsidP="001B3E6E">
      <w:pPr>
        <w:spacing w:after="160" w:line="259" w:lineRule="auto"/>
        <w:jc w:val="both"/>
        <w:rPr>
          <w:sz w:val="20"/>
          <w:lang w:val="en-GB"/>
        </w:rPr>
      </w:pPr>
      <w:r>
        <w:rPr>
          <w:sz w:val="20"/>
          <w:lang w:val="en-GB"/>
        </w:rPr>
        <w:t>Fig.</w:t>
      </w:r>
      <w:r w:rsidR="00003087">
        <w:rPr>
          <w:sz w:val="20"/>
          <w:lang w:val="en-GB"/>
        </w:rPr>
        <w:t xml:space="preserve"> S</w:t>
      </w:r>
      <w:r w:rsidR="00AD466D">
        <w:rPr>
          <w:sz w:val="20"/>
          <w:lang w:val="en-GB"/>
        </w:rPr>
        <w:t>13</w:t>
      </w:r>
      <w:r w:rsidR="00003087">
        <w:rPr>
          <w:sz w:val="20"/>
          <w:lang w:val="en-GB"/>
        </w:rPr>
        <w:t>: Coverage depth over analysed CpG positions in cfNOMe vs. Bisulfite sequencing. More CpG positions are more highly covered with increasing dataset size</w:t>
      </w:r>
      <w:r w:rsidR="001D5538">
        <w:rPr>
          <w:sz w:val="20"/>
          <w:lang w:val="en-GB"/>
        </w:rPr>
        <w:t>. Larger sequencing datasets were downsampled to 1×10</w:t>
      </w:r>
      <w:r w:rsidR="001D5538" w:rsidRPr="001B3E6E">
        <w:rPr>
          <w:sz w:val="20"/>
          <w:vertAlign w:val="superscript"/>
          <w:lang w:val="en-GB"/>
        </w:rPr>
        <w:t>6</w:t>
      </w:r>
      <w:r w:rsidR="001D5538">
        <w:rPr>
          <w:sz w:val="20"/>
          <w:lang w:val="en-GB"/>
        </w:rPr>
        <w:t>, 1×10</w:t>
      </w:r>
      <w:r w:rsidR="005C5C10">
        <w:rPr>
          <w:sz w:val="20"/>
          <w:vertAlign w:val="superscript"/>
          <w:lang w:val="en-GB"/>
        </w:rPr>
        <w:t>7</w:t>
      </w:r>
      <w:r w:rsidR="001D5538">
        <w:rPr>
          <w:sz w:val="20"/>
          <w:lang w:val="en-GB"/>
        </w:rPr>
        <w:t xml:space="preserve"> and 1×10</w:t>
      </w:r>
      <w:r w:rsidR="005C5C10">
        <w:rPr>
          <w:sz w:val="20"/>
          <w:vertAlign w:val="superscript"/>
          <w:lang w:val="en-GB"/>
        </w:rPr>
        <w:t>8</w:t>
      </w:r>
      <w:r w:rsidR="001D5538">
        <w:rPr>
          <w:sz w:val="20"/>
          <w:lang w:val="en-GB"/>
        </w:rPr>
        <w:t xml:space="preserve"> aligned reads for each CpG, the corresponding coverage depth was assessed.</w:t>
      </w:r>
      <w:r w:rsidR="009E66E5">
        <w:rPr>
          <w:sz w:val="20"/>
          <w:lang w:val="en-GB"/>
        </w:rPr>
        <w:t xml:space="preserve"> Comparison between equally sized replicates of K19, K20 and K21, converted either enzymatically or using bisulfite conversion.</w:t>
      </w:r>
    </w:p>
    <w:p w:rsidR="0004774B" w:rsidRDefault="0004774B" w:rsidP="001B3E6E">
      <w:pPr>
        <w:spacing w:after="160" w:line="259" w:lineRule="auto"/>
        <w:jc w:val="both"/>
        <w:rPr>
          <w:sz w:val="20"/>
          <w:lang w:val="en-GB"/>
        </w:rPr>
        <w:sectPr w:rsidR="0004774B" w:rsidSect="00F41DE7">
          <w:pgSz w:w="15840" w:h="12240" w:orient="landscape"/>
          <w:pgMar w:top="1417" w:right="1417" w:bottom="1417" w:left="1134" w:header="708" w:footer="708" w:gutter="0"/>
          <w:cols w:space="708"/>
          <w:docGrid w:linePitch="360"/>
        </w:sectPr>
      </w:pPr>
    </w:p>
    <w:p w:rsidR="0056112A" w:rsidRDefault="0056112A" w:rsidP="0056112A">
      <w:pPr>
        <w:spacing w:after="160" w:line="259" w:lineRule="auto"/>
        <w:rPr>
          <w:sz w:val="20"/>
          <w:lang w:val="en-GB"/>
        </w:rPr>
      </w:pPr>
      <w:r>
        <w:rPr>
          <w:noProof/>
          <w:sz w:val="20"/>
          <w:lang w:val="en-US"/>
        </w:rPr>
        <w:lastRenderedPageBreak/>
        <w:drawing>
          <wp:inline distT="0" distB="0" distL="0" distR="0" wp14:anchorId="255C2C8C" wp14:editId="5C25AA55">
            <wp:extent cx="6092260" cy="489597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3403" cy="4912965"/>
                    </a:xfrm>
                    <a:prstGeom prst="rect">
                      <a:avLst/>
                    </a:prstGeom>
                    <a:noFill/>
                  </pic:spPr>
                </pic:pic>
              </a:graphicData>
            </a:graphic>
          </wp:inline>
        </w:drawing>
      </w:r>
    </w:p>
    <w:p w:rsidR="0056112A" w:rsidRDefault="007B786A" w:rsidP="0056112A">
      <w:pPr>
        <w:spacing w:after="160" w:line="259" w:lineRule="auto"/>
        <w:jc w:val="both"/>
        <w:rPr>
          <w:sz w:val="20"/>
          <w:lang w:val="en-GB"/>
        </w:rPr>
      </w:pPr>
      <w:r>
        <w:rPr>
          <w:sz w:val="20"/>
          <w:lang w:val="en-GB"/>
        </w:rPr>
        <w:t>Fig.</w:t>
      </w:r>
      <w:r w:rsidR="0056112A">
        <w:rPr>
          <w:sz w:val="20"/>
          <w:lang w:val="en-GB"/>
        </w:rPr>
        <w:t xml:space="preserve"> S1</w:t>
      </w:r>
      <w:r w:rsidR="00AD466D">
        <w:rPr>
          <w:sz w:val="20"/>
          <w:lang w:val="en-GB"/>
        </w:rPr>
        <w:t>4</w:t>
      </w:r>
      <w:r w:rsidR="0056112A">
        <w:rPr>
          <w:sz w:val="20"/>
          <w:lang w:val="en-GB"/>
        </w:rPr>
        <w:t>: Comparison of the aggregate normalised WPS</w:t>
      </w:r>
      <w:r w:rsidR="0056112A" w:rsidRPr="00E752DC">
        <w:rPr>
          <w:sz w:val="20"/>
          <w:vertAlign w:val="subscript"/>
          <w:lang w:val="en-GB"/>
        </w:rPr>
        <w:t>120</w:t>
      </w:r>
      <w:r w:rsidR="0056112A">
        <w:rPr>
          <w:sz w:val="20"/>
          <w:lang w:val="en-GB"/>
        </w:rPr>
        <w:t xml:space="preserve"> around the transcription start site (TSS) of autosomal genes with any level of expression in whole blood (n=15,368) and autosomal genes with zero expression in whole blood (n=2,447). </w:t>
      </w:r>
      <w:r w:rsidR="0056112A" w:rsidRPr="00FF5229">
        <w:rPr>
          <w:b/>
          <w:sz w:val="20"/>
          <w:lang w:val="en-GB"/>
        </w:rPr>
        <w:t>a</w:t>
      </w:r>
      <w:r w:rsidR="0056112A">
        <w:rPr>
          <w:sz w:val="20"/>
          <w:lang w:val="en-GB"/>
        </w:rPr>
        <w:t xml:space="preserve">, Positive whole blood expression genes, blood-derived cfDNA. </w:t>
      </w:r>
      <w:r w:rsidR="0056112A" w:rsidRPr="009351B3">
        <w:rPr>
          <w:b/>
          <w:sz w:val="20"/>
          <w:lang w:val="en-GB"/>
        </w:rPr>
        <w:t>b</w:t>
      </w:r>
      <w:r w:rsidR="0056112A">
        <w:rPr>
          <w:sz w:val="20"/>
          <w:lang w:val="en-GB"/>
        </w:rPr>
        <w:t xml:space="preserve">, Zero whole blood expression genes, blood-derived cfDNA. </w:t>
      </w:r>
      <w:r w:rsidR="0056112A" w:rsidRPr="009351B3">
        <w:rPr>
          <w:b/>
          <w:sz w:val="20"/>
          <w:lang w:val="en-GB"/>
        </w:rPr>
        <w:t>c</w:t>
      </w:r>
      <w:r w:rsidR="0056112A">
        <w:rPr>
          <w:sz w:val="20"/>
          <w:lang w:val="en-GB"/>
        </w:rPr>
        <w:t xml:space="preserve">, Positive whole blood expression genes, urine-derived cfDNA. </w:t>
      </w:r>
      <w:r w:rsidR="0056112A" w:rsidRPr="009351B3">
        <w:rPr>
          <w:b/>
          <w:sz w:val="20"/>
          <w:lang w:val="en-GB"/>
        </w:rPr>
        <w:t>d</w:t>
      </w:r>
      <w:r w:rsidR="0056112A">
        <w:rPr>
          <w:sz w:val="20"/>
          <w:lang w:val="en-GB"/>
        </w:rPr>
        <w:t>, Zero whole blood expression genes, urine-derived cfDNA. No signal is visible for genes with zero whole blood expression in blood-derived cfDNA, whereas a weak signal exists for those same genes in urine-derived cfDNA. 1,207 (~49%) of the analysed genes with zero expression in whole blood have positive expression in the kidney. All fragments (1bp-500bp) were studied in the merged datasets of healthy individual K16.</w:t>
      </w:r>
    </w:p>
    <w:p w:rsidR="0056112A" w:rsidRDefault="0056112A" w:rsidP="0056112A">
      <w:pPr>
        <w:spacing w:after="160" w:line="259" w:lineRule="auto"/>
        <w:rPr>
          <w:sz w:val="20"/>
          <w:lang w:val="en-GB"/>
        </w:rPr>
        <w:sectPr w:rsidR="0056112A">
          <w:pgSz w:w="12240" w:h="15840"/>
          <w:pgMar w:top="1417" w:right="1417" w:bottom="1134" w:left="1417" w:header="708" w:footer="708" w:gutter="0"/>
          <w:cols w:space="708"/>
          <w:docGrid w:linePitch="360"/>
        </w:sectPr>
      </w:pPr>
    </w:p>
    <w:p w:rsidR="0056112A" w:rsidRDefault="0056112A" w:rsidP="0056112A">
      <w:pPr>
        <w:spacing w:after="160" w:line="259" w:lineRule="auto"/>
        <w:jc w:val="both"/>
        <w:rPr>
          <w:sz w:val="20"/>
          <w:lang w:val="en-GB"/>
        </w:rPr>
      </w:pPr>
      <w:r>
        <w:rPr>
          <w:noProof/>
          <w:sz w:val="20"/>
          <w:lang w:val="en-US"/>
        </w:rPr>
        <w:lastRenderedPageBreak/>
        <w:drawing>
          <wp:anchor distT="0" distB="0" distL="114300" distR="114300" simplePos="0" relativeHeight="251663360" behindDoc="1" locked="0" layoutInCell="1" allowOverlap="1" wp14:anchorId="59364C1E" wp14:editId="13130048">
            <wp:simplePos x="0" y="0"/>
            <wp:positionH relativeFrom="column">
              <wp:posOffset>3479</wp:posOffset>
            </wp:positionH>
            <wp:positionV relativeFrom="paragraph">
              <wp:posOffset>-1298</wp:posOffset>
            </wp:positionV>
            <wp:extent cx="8469133" cy="423456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69133" cy="4234567"/>
                    </a:xfrm>
                    <a:prstGeom prst="rect">
                      <a:avLst/>
                    </a:prstGeom>
                    <a:noFill/>
                  </pic:spPr>
                </pic:pic>
              </a:graphicData>
            </a:graphic>
          </wp:anchor>
        </w:drawing>
      </w:r>
      <w:r>
        <w:rPr>
          <w:noProof/>
          <w:sz w:val="20"/>
          <w:lang w:val="en-US"/>
        </w:rPr>
        <w:drawing>
          <wp:inline distT="0" distB="0" distL="0" distR="0" wp14:anchorId="5AFE746A" wp14:editId="6EC4F16E">
            <wp:extent cx="13900150" cy="201295"/>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0150" cy="201295"/>
                    </a:xfrm>
                    <a:prstGeom prst="rect">
                      <a:avLst/>
                    </a:prstGeom>
                    <a:noFill/>
                  </pic:spPr>
                </pic:pic>
              </a:graphicData>
            </a:graphic>
          </wp:inline>
        </w:drawing>
      </w: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56112A" w:rsidP="0056112A">
      <w:pPr>
        <w:spacing w:after="160" w:line="259" w:lineRule="auto"/>
        <w:jc w:val="both"/>
        <w:rPr>
          <w:sz w:val="20"/>
          <w:lang w:val="en-GB"/>
        </w:rPr>
      </w:pPr>
    </w:p>
    <w:p w:rsidR="0056112A" w:rsidRDefault="007B786A" w:rsidP="0056112A">
      <w:pPr>
        <w:spacing w:after="160" w:line="259" w:lineRule="auto"/>
        <w:jc w:val="both"/>
        <w:rPr>
          <w:sz w:val="20"/>
          <w:lang w:val="en-GB"/>
        </w:rPr>
      </w:pPr>
      <w:r>
        <w:rPr>
          <w:sz w:val="20"/>
          <w:lang w:val="en-GB"/>
        </w:rPr>
        <w:t>Fig.</w:t>
      </w:r>
      <w:r w:rsidR="0056112A">
        <w:rPr>
          <w:sz w:val="20"/>
          <w:lang w:val="en-GB"/>
        </w:rPr>
        <w:t xml:space="preserve"> S1</w:t>
      </w:r>
      <w:r w:rsidR="00AD466D">
        <w:rPr>
          <w:sz w:val="20"/>
          <w:lang w:val="en-GB"/>
        </w:rPr>
        <w:t>5</w:t>
      </w:r>
      <w:r w:rsidR="0056112A">
        <w:rPr>
          <w:sz w:val="20"/>
          <w:lang w:val="en-GB"/>
        </w:rPr>
        <w:t xml:space="preserve">: Correlation between the nucleosome positioning signal (NPS) as measured in blood-derived cfDNA and the level of gene expression in whole blood. For this analysis, the very long cfDNA fragments between 200bp to 500bp were analysed. There is a strong negative correlation apparent in cfNOMe datasets. Bisulfite-converted datasets also show a weaker correlation for this metric at similar sequencing dataset sizes. The NPS for this analysis was calculated as </w:t>
      </w:r>
      <m:oMath>
        <m:nary>
          <m:naryPr>
            <m:chr m:val="∑"/>
            <m:subHide m:val="1"/>
            <m:supHide m:val="1"/>
            <m:ctrlPr>
              <w:rPr>
                <w:rFonts w:ascii="Cambria Math" w:eastAsia="Times New Roman" w:hAnsi="Cambria Math"/>
                <w:i/>
                <w:iCs/>
                <w:sz w:val="20"/>
                <w:lang w:val="pt-BR"/>
              </w:rPr>
            </m:ctrlPr>
          </m:naryPr>
          <m:sub/>
          <m:sup/>
          <m:e>
            <m:sSub>
              <m:sSubPr>
                <m:ctrlPr>
                  <w:rPr>
                    <w:rFonts w:ascii="Cambria Math" w:eastAsia="Times New Roman" w:hAnsi="Cambria Math"/>
                    <w:i/>
                    <w:iCs/>
                    <w:sz w:val="20"/>
                  </w:rPr>
                </m:ctrlPr>
              </m:sSubPr>
              <m:e>
                <m:r>
                  <w:rPr>
                    <w:rFonts w:ascii="Cambria Math" w:eastAsia="Times New Roman" w:hAnsi="Cambria Math"/>
                    <w:sz w:val="20"/>
                  </w:rPr>
                  <m:t>P</m:t>
                </m:r>
              </m:e>
              <m:sub>
                <m:r>
                  <w:rPr>
                    <w:rFonts w:ascii="Cambria Math" w:eastAsia="Times New Roman" w:hAnsi="Cambria Math"/>
                    <w:sz w:val="20"/>
                    <w:lang w:val="en-US"/>
                  </w:rPr>
                  <m:t>135..185</m:t>
                </m:r>
              </m:sub>
            </m:sSub>
          </m:e>
        </m:nary>
        <m:r>
          <w:rPr>
            <w:rFonts w:ascii="Cambria Math" w:eastAsiaTheme="minorEastAsia" w:hAnsi="Cambria Math"/>
            <w:sz w:val="20"/>
            <w:lang w:val="pt-BR"/>
          </w:rPr>
          <m:t>-</m:t>
        </m:r>
        <m:nary>
          <m:naryPr>
            <m:chr m:val="∑"/>
            <m:subHide m:val="1"/>
            <m:supHide m:val="1"/>
            <m:ctrlPr>
              <w:rPr>
                <w:rFonts w:ascii="Cambria Math" w:hAnsi="Cambria Math"/>
                <w:i/>
                <w:iCs/>
                <w:sz w:val="20"/>
                <w:lang w:val="pt-BR"/>
              </w:rPr>
            </m:ctrlPr>
          </m:naryPr>
          <m:sub/>
          <m:sup/>
          <m:e>
            <m:sSub>
              <m:sSubPr>
                <m:ctrlPr>
                  <w:rPr>
                    <w:rFonts w:ascii="Cambria Math" w:hAnsi="Cambria Math"/>
                    <w:i/>
                    <w:iCs/>
                    <w:sz w:val="20"/>
                  </w:rPr>
                </m:ctrlPr>
              </m:sSubPr>
              <m:e>
                <m:r>
                  <w:rPr>
                    <w:rFonts w:ascii="Cambria Math" w:hAnsi="Cambria Math"/>
                    <w:sz w:val="20"/>
                  </w:rPr>
                  <m:t>P</m:t>
                </m:r>
              </m:e>
              <m:sub>
                <m:r>
                  <w:rPr>
                    <w:rFonts w:ascii="Cambria Math" w:hAnsi="Cambria Math"/>
                    <w:sz w:val="20"/>
                  </w:rPr>
                  <m:t>10..60</m:t>
                </m:r>
              </m:sub>
            </m:sSub>
          </m:e>
        </m:nary>
      </m:oMath>
      <w:r w:rsidR="0056112A">
        <w:rPr>
          <w:rFonts w:eastAsiaTheme="minorEastAsia"/>
          <w:iCs/>
          <w:sz w:val="20"/>
          <w:lang w:val="pt-BR"/>
        </w:rPr>
        <w:t xml:space="preserve"> from the respective aggregate WPS</w:t>
      </w:r>
      <w:r w:rsidR="0056112A" w:rsidRPr="006704B4">
        <w:rPr>
          <w:rFonts w:eastAsiaTheme="minorEastAsia"/>
          <w:iCs/>
          <w:sz w:val="20"/>
          <w:vertAlign w:val="subscript"/>
          <w:lang w:val="pt-BR"/>
        </w:rPr>
        <w:t>120</w:t>
      </w:r>
      <w:r w:rsidR="0056112A">
        <w:rPr>
          <w:rFonts w:eastAsiaTheme="minorEastAsia"/>
          <w:iCs/>
          <w:sz w:val="20"/>
          <w:lang w:val="pt-BR"/>
        </w:rPr>
        <w:t xml:space="preserve"> scores. A different offset from the transcription start sites is necessary depending on the chosen WPS window size. </w:t>
      </w:r>
      <w:r w:rsidR="0056112A">
        <w:rPr>
          <w:sz w:val="20"/>
          <w:lang w:val="en-GB"/>
        </w:rPr>
        <w:t xml:space="preserve">Only autosomal genes are studied. </w:t>
      </w:r>
      <w:r w:rsidR="0056112A">
        <w:rPr>
          <w:rFonts w:eastAsiaTheme="minorEastAsia"/>
          <w:iCs/>
          <w:sz w:val="20"/>
          <w:lang w:val="pt-BR"/>
        </w:rPr>
        <w:t xml:space="preserve">The “no expression” category contains 2,447 genes with zero expression in whole blood. The “1k random” category contains 1,000 randomly selected coordinates in the hg19 reference genome. </w:t>
      </w:r>
      <w:r w:rsidR="0056112A">
        <w:rPr>
          <w:sz w:val="20"/>
          <w:lang w:val="en-GB"/>
        </w:rPr>
        <w:t>A</w:t>
      </w:r>
      <w:r w:rsidR="0056112A" w:rsidRPr="00E972DF">
        <w:rPr>
          <w:sz w:val="20"/>
          <w:lang w:val="en-GB"/>
        </w:rPr>
        <w:t>ll merged datasets are analysed</w:t>
      </w:r>
      <w:r w:rsidR="0056112A">
        <w:rPr>
          <w:sz w:val="20"/>
          <w:lang w:val="en-GB"/>
        </w:rPr>
        <w:t>.</w:t>
      </w:r>
      <w:r w:rsidR="0056112A">
        <w:rPr>
          <w:rFonts w:eastAsiaTheme="minorEastAsia"/>
          <w:iCs/>
          <w:sz w:val="20"/>
          <w:lang w:val="pt-BR"/>
        </w:rPr>
        <w:t xml:space="preserve"> Error bars represent SEM.</w:t>
      </w:r>
    </w:p>
    <w:p w:rsidR="0056112A" w:rsidRDefault="0056112A" w:rsidP="0056112A">
      <w:pPr>
        <w:spacing w:after="160" w:line="259" w:lineRule="auto"/>
        <w:jc w:val="both"/>
        <w:rPr>
          <w:sz w:val="20"/>
          <w:lang w:val="en-GB"/>
        </w:rPr>
        <w:sectPr w:rsidR="0056112A" w:rsidSect="00AB6781">
          <w:pgSz w:w="15840" w:h="12240" w:orient="landscape"/>
          <w:pgMar w:top="1417" w:right="1417" w:bottom="1417" w:left="1134" w:header="708" w:footer="708" w:gutter="0"/>
          <w:cols w:space="708"/>
          <w:docGrid w:linePitch="360"/>
        </w:sectPr>
      </w:pPr>
    </w:p>
    <w:p w:rsidR="0056112A" w:rsidRDefault="0056112A" w:rsidP="0056112A">
      <w:pPr>
        <w:spacing w:after="160" w:line="259" w:lineRule="auto"/>
        <w:jc w:val="both"/>
        <w:rPr>
          <w:sz w:val="20"/>
          <w:lang w:val="en-GB"/>
        </w:rPr>
      </w:pPr>
      <w:r>
        <w:rPr>
          <w:noProof/>
          <w:sz w:val="20"/>
          <w:lang w:val="en-US"/>
        </w:rPr>
        <w:lastRenderedPageBreak/>
        <w:drawing>
          <wp:inline distT="0" distB="0" distL="0" distR="0" wp14:anchorId="1590FA38" wp14:editId="75DBE6AB">
            <wp:extent cx="6004560" cy="4265798"/>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7097" cy="4281809"/>
                    </a:xfrm>
                    <a:prstGeom prst="rect">
                      <a:avLst/>
                    </a:prstGeom>
                    <a:noFill/>
                  </pic:spPr>
                </pic:pic>
              </a:graphicData>
            </a:graphic>
          </wp:inline>
        </w:drawing>
      </w:r>
    </w:p>
    <w:p w:rsidR="0056112A" w:rsidRDefault="007B786A" w:rsidP="0056112A">
      <w:pPr>
        <w:spacing w:after="160" w:line="259" w:lineRule="auto"/>
        <w:jc w:val="both"/>
        <w:rPr>
          <w:sz w:val="20"/>
          <w:lang w:val="en-GB"/>
        </w:rPr>
      </w:pPr>
      <w:r>
        <w:rPr>
          <w:sz w:val="20"/>
          <w:lang w:val="en-GB"/>
        </w:rPr>
        <w:t>Fig.</w:t>
      </w:r>
      <w:r w:rsidR="0056112A">
        <w:rPr>
          <w:sz w:val="20"/>
          <w:lang w:val="en-GB"/>
        </w:rPr>
        <w:t xml:space="preserve"> S1</w:t>
      </w:r>
      <w:r w:rsidR="00AD466D">
        <w:rPr>
          <w:sz w:val="20"/>
          <w:lang w:val="en-GB"/>
        </w:rPr>
        <w:t>6</w:t>
      </w:r>
      <w:r w:rsidR="0056112A">
        <w:rPr>
          <w:sz w:val="20"/>
          <w:lang w:val="en-GB"/>
        </w:rPr>
        <w:t>: Downsampling series of windowed protection score (WPS) calculations. The 1000 most highly expressed genes in whole blood were chosen and the aggregate normalised WPS</w:t>
      </w:r>
      <w:r w:rsidR="0056112A" w:rsidRPr="00FF5229">
        <w:rPr>
          <w:sz w:val="20"/>
          <w:vertAlign w:val="subscript"/>
          <w:lang w:val="en-GB"/>
        </w:rPr>
        <w:t>120</w:t>
      </w:r>
      <w:r w:rsidR="0056112A">
        <w:rPr>
          <w:sz w:val="20"/>
          <w:lang w:val="en-GB"/>
        </w:rPr>
        <w:t xml:space="preserve"> at their transcription start sites calculated in control sample K16. The complete K16 blood dataset contained ~2.25 billion mapped reads. Further downsampled datasets were generated with sizes between 500 million and 2 million mapped reads. A reliable detection of strong WPS patterns in this context seems to be possible in datasets containing 200 million or more reads. Smaller datasets exhibit increased noise, making downstream analyses more challenging.</w:t>
      </w:r>
    </w:p>
    <w:p w:rsidR="0056112A" w:rsidRDefault="0056112A" w:rsidP="0056112A">
      <w:pPr>
        <w:spacing w:after="160" w:line="259" w:lineRule="auto"/>
        <w:jc w:val="both"/>
        <w:rPr>
          <w:sz w:val="20"/>
          <w:lang w:val="en-GB"/>
        </w:rPr>
        <w:sectPr w:rsidR="0056112A">
          <w:pgSz w:w="12240" w:h="15840"/>
          <w:pgMar w:top="1417" w:right="1417" w:bottom="1134" w:left="1417" w:header="708" w:footer="708" w:gutter="0"/>
          <w:cols w:space="708"/>
          <w:docGrid w:linePitch="360"/>
        </w:sectPr>
      </w:pPr>
    </w:p>
    <w:p w:rsidR="00D75B05" w:rsidRDefault="0056112A" w:rsidP="0056112A">
      <w:pPr>
        <w:jc w:val="both"/>
        <w:rPr>
          <w:sz w:val="20"/>
          <w:lang w:val="en-GB"/>
        </w:rPr>
      </w:pPr>
      <w:r>
        <w:rPr>
          <w:noProof/>
          <w:sz w:val="20"/>
          <w:lang w:val="en-US"/>
        </w:rPr>
        <w:lastRenderedPageBreak/>
        <w:drawing>
          <wp:inline distT="0" distB="0" distL="0" distR="0" wp14:anchorId="4214BE5A" wp14:editId="30D757F7">
            <wp:extent cx="7780168" cy="506768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25839" cy="5097428"/>
                    </a:xfrm>
                    <a:prstGeom prst="rect">
                      <a:avLst/>
                    </a:prstGeom>
                    <a:noFill/>
                  </pic:spPr>
                </pic:pic>
              </a:graphicData>
            </a:graphic>
          </wp:inline>
        </w:drawing>
      </w:r>
      <w:r w:rsidRPr="008D520F">
        <w:rPr>
          <w:sz w:val="20"/>
          <w:lang w:val="en-GB"/>
        </w:rPr>
        <w:t xml:space="preserve"> </w:t>
      </w:r>
    </w:p>
    <w:p w:rsidR="0056112A" w:rsidRDefault="007B786A" w:rsidP="0056112A">
      <w:pPr>
        <w:jc w:val="both"/>
        <w:rPr>
          <w:sz w:val="20"/>
          <w:lang w:val="en-GB"/>
        </w:rPr>
      </w:pPr>
      <w:r>
        <w:rPr>
          <w:sz w:val="20"/>
          <w:lang w:val="en-GB"/>
        </w:rPr>
        <w:t>Fig.</w:t>
      </w:r>
      <w:r w:rsidR="0056112A" w:rsidRPr="008D520F">
        <w:rPr>
          <w:sz w:val="20"/>
          <w:lang w:val="en-GB"/>
        </w:rPr>
        <w:t xml:space="preserve"> S</w:t>
      </w:r>
      <w:r w:rsidR="0056112A">
        <w:rPr>
          <w:sz w:val="20"/>
          <w:lang w:val="en-GB"/>
        </w:rPr>
        <w:t>1</w:t>
      </w:r>
      <w:r w:rsidR="00AD466D">
        <w:rPr>
          <w:sz w:val="20"/>
          <w:lang w:val="en-GB"/>
        </w:rPr>
        <w:t>7</w:t>
      </w:r>
      <w:r w:rsidR="0056112A" w:rsidRPr="008D520F">
        <w:rPr>
          <w:sz w:val="20"/>
          <w:lang w:val="en-GB"/>
        </w:rPr>
        <w:t xml:space="preserve">: </w:t>
      </w:r>
      <w:r w:rsidR="0056112A">
        <w:rPr>
          <w:sz w:val="20"/>
          <w:lang w:val="en-GB"/>
        </w:rPr>
        <w:t xml:space="preserve">Blood-derived </w:t>
      </w:r>
      <w:r w:rsidR="0056112A" w:rsidRPr="008D520F">
        <w:rPr>
          <w:sz w:val="20"/>
          <w:lang w:val="en-GB"/>
        </w:rPr>
        <w:t>cfDNA fragment length histograms (n=</w:t>
      </w:r>
      <w:r w:rsidR="0056112A">
        <w:rPr>
          <w:sz w:val="20"/>
          <w:lang w:val="en-GB"/>
        </w:rPr>
        <w:t>5</w:t>
      </w:r>
      <w:r w:rsidR="0056112A" w:rsidRPr="008D520F">
        <w:rPr>
          <w:sz w:val="20"/>
          <w:lang w:val="en-GB"/>
        </w:rPr>
        <w:t xml:space="preserve">,000,000 fragments per library are plotted). The typical fragmentation patterns of cfDNA are maintained </w:t>
      </w:r>
      <w:r w:rsidR="0056112A">
        <w:rPr>
          <w:sz w:val="20"/>
          <w:lang w:val="en-GB"/>
        </w:rPr>
        <w:t>in libraries generated with either method</w:t>
      </w:r>
      <w:r w:rsidR="0056112A" w:rsidRPr="008D520F">
        <w:rPr>
          <w:sz w:val="20"/>
          <w:lang w:val="en-GB"/>
        </w:rPr>
        <w:t>. A fragment length peak at ~170bp in blood-derived cfDNA is evident, as well as an additional fragment length periodicity of 10.5bp. The former feature is called the nucleosomal peak and represents the length of DNA wrapped around a single nucleosome including the adjacent linker DNA</w:t>
      </w:r>
      <w:r w:rsidR="0056112A" w:rsidRPr="008D520F">
        <w:rPr>
          <w:sz w:val="20"/>
          <w:lang w:val="en-GB"/>
        </w:rPr>
        <w:fldChar w:fldCharType="begin">
          <w:fldData xml:space="preserve">PEVuZE5vdGU+PENpdGU+PEF1dGhvcj5MbzwvQXV0aG9yPjxZZWFyPjIwMTA8L1llYXI+PFJlY051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bD48cGFnZXM+NjFyYTkxPC9wYWdlcz48dm9sdW1lPjI8L3ZvbHVtZT48bnVtYmVyPjYxPC9udW1i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</w:fldData>
        </w:fldChar>
      </w:r>
      <w:r w:rsidR="00242CE3">
        <w:rPr>
          <w:sz w:val="20"/>
          <w:lang w:val="en-GB"/>
        </w:rPr>
        <w:instrText xml:space="preserve"> ADDIN EN.CITE </w:instrText>
      </w:r>
      <w:r w:rsidR="00242CE3">
        <w:rPr>
          <w:sz w:val="20"/>
          <w:lang w:val="en-GB"/>
        </w:rPr>
        <w:fldChar w:fldCharType="begin">
          <w:fldData xml:space="preserve">PEVuZE5vdGU+PENpdGU+PEF1dGhvcj5MbzwvQXV0aG9yPjxZZWFyPjIwMTA8L1llYXI+PFJlY051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bD48cGFnZXM+NjFyYTkxPC9wYWdlcz48dm9sdW1lPjI8L3ZvbHVtZT48bnVtYmVyPjYxPC9udW1i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</w:fldData>
        </w:fldChar>
      </w:r>
      <w:r w:rsidR="00242CE3">
        <w:rPr>
          <w:sz w:val="20"/>
          <w:lang w:val="en-GB"/>
        </w:rPr>
        <w:instrText xml:space="preserve"> ADDIN EN.CITE.DATA </w:instrText>
      </w:r>
      <w:r w:rsidR="00242CE3">
        <w:rPr>
          <w:sz w:val="20"/>
          <w:lang w:val="en-GB"/>
        </w:rPr>
      </w:r>
      <w:r w:rsidR="00242CE3">
        <w:rPr>
          <w:sz w:val="20"/>
          <w:lang w:val="en-GB"/>
        </w:rPr>
        <w:fldChar w:fldCharType="end"/>
      </w:r>
      <w:r w:rsidR="0056112A" w:rsidRPr="008D520F">
        <w:rPr>
          <w:sz w:val="20"/>
          <w:lang w:val="en-GB"/>
        </w:rPr>
      </w:r>
      <w:r w:rsidR="0056112A" w:rsidRPr="008D520F">
        <w:rPr>
          <w:sz w:val="20"/>
          <w:lang w:val="en-GB"/>
        </w:rPr>
        <w:fldChar w:fldCharType="separate"/>
      </w:r>
      <w:r w:rsidR="00242CE3">
        <w:rPr>
          <w:noProof/>
          <w:sz w:val="20"/>
          <w:lang w:val="en-GB"/>
        </w:rPr>
        <w:t>[2]</w:t>
      </w:r>
      <w:r w:rsidR="0056112A" w:rsidRPr="008D520F">
        <w:rPr>
          <w:sz w:val="20"/>
          <w:lang w:val="en-GB"/>
        </w:rPr>
        <w:fldChar w:fldCharType="end"/>
      </w:r>
      <w:r w:rsidR="0056112A" w:rsidRPr="008D520F">
        <w:rPr>
          <w:sz w:val="20"/>
          <w:lang w:val="en-GB"/>
        </w:rPr>
        <w:t>, the latter periodicity represents the rotation of the DNA double helix along its longitudinal axis when wrapped around the nucleosome</w:t>
      </w:r>
      <w:r w:rsidR="0056112A" w:rsidRPr="008D520F">
        <w:rPr>
          <w:sz w:val="20"/>
          <w:lang w:val="en-GB"/>
        </w:rPr>
        <w:fldChar w:fldCharType="begin"/>
      </w:r>
      <w:r w:rsidR="00242CE3">
        <w:rPr>
          <w:sz w:val="20"/>
          <w:lang w:val="en-GB"/>
        </w:rPr>
        <w:instrText xml:space="preserve"> ADDIN EN.CITE &lt;EndNote&gt;&lt;Cite&gt;&lt;Author&gt;Wang&lt;/Author&gt;&lt;Year&gt;1979&lt;/Year&gt;&lt;RecNum&gt;519&lt;/RecNum&gt;&lt;DisplayText&gt;[3]&lt;/DisplayText&gt;&lt;record&gt;&lt;rec-number&gt;519&lt;/rec-number&gt;&lt;foreign-keys&gt;&lt;key app="EN" db-id="5xsrt2we62ef0mezwzop0z9apaw2wav9rdst" timestamp="1562342116"&gt;519&lt;/key&gt;&lt;/foreign-keys&gt;&lt;ref-type name="Journal Article"&gt;17&lt;/ref-type&gt;&lt;contributors&gt;&lt;authors&gt;&lt;author&gt;Wang, J. C.&lt;/author&gt;&lt;/authors&gt;&lt;/contributors&gt;&lt;titles&gt;&lt;title&gt;Helical repeat of DNA in solution&lt;/title&gt;&lt;secondary-title&gt;Proc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America&lt;/abbr-1&gt;&lt;/alt-periodical&gt;&lt;pages&gt;200-3&lt;/pages&gt;&lt;volume&gt;76&lt;/volume&gt;&lt;number&gt;1&lt;/number&gt;&lt;keywords&gt;&lt;keyword&gt;*Dna&lt;/keyword&gt;&lt;keyword&gt;Electrophoresis, Agar Gel&lt;/keyword&gt;&lt;keyword&gt;Molecular Weight&lt;/keyword&gt;&lt;keyword&gt;Nucleic Acid Conformation&lt;/keyword&gt;&lt;keyword&gt;Plasmids&lt;/keyword&gt;&lt;keyword&gt;Solutions&lt;/keyword&gt;&lt;/keywords&gt;&lt;dates&gt;&lt;year&gt;1979&lt;/year&gt;&lt;pub-dates&gt;&lt;date&gt;Jan&lt;/date&gt;&lt;/pub-dates&gt;&lt;/dates&gt;&lt;isbn&gt;0027-8424 (Print)&amp;#xD;0027-8424 (Linking)&lt;/isbn&gt;&lt;accession-num&gt;284332&lt;/accession-num&gt;&lt;urls&gt;&lt;related-urls&gt;&lt;url&gt;http://www.ncbi.nlm.nih.gov/pubmed/284332&lt;/url&gt;&lt;/related-urls&gt;&lt;/urls&gt;&lt;custom2&gt;382905&lt;/custom2&gt;&lt;electronic-resource-num&gt;10.1073/pnas.76.1.200&lt;/electronic-resource-num&gt;&lt;/record&gt;&lt;/Cite&gt;&lt;/EndNote&gt;</w:instrText>
      </w:r>
      <w:r w:rsidR="0056112A" w:rsidRPr="008D520F">
        <w:rPr>
          <w:sz w:val="20"/>
          <w:lang w:val="en-GB"/>
        </w:rPr>
        <w:fldChar w:fldCharType="separate"/>
      </w:r>
      <w:r w:rsidR="00242CE3">
        <w:rPr>
          <w:noProof/>
          <w:sz w:val="20"/>
          <w:lang w:val="en-GB"/>
        </w:rPr>
        <w:t>[3]</w:t>
      </w:r>
      <w:r w:rsidR="0056112A" w:rsidRPr="008D520F">
        <w:rPr>
          <w:sz w:val="20"/>
          <w:lang w:val="en-GB"/>
        </w:rPr>
        <w:fldChar w:fldCharType="end"/>
      </w:r>
      <w:r w:rsidR="0056112A">
        <w:rPr>
          <w:sz w:val="20"/>
          <w:lang w:val="en-GB"/>
        </w:rPr>
        <w:t>.</w:t>
      </w:r>
      <w:r w:rsidR="0056112A">
        <w:rPr>
          <w:sz w:val="20"/>
          <w:lang w:val="en-GB"/>
        </w:rPr>
        <w:br w:type="page"/>
      </w:r>
    </w:p>
    <w:p w:rsidR="0056112A" w:rsidRPr="008D520F" w:rsidRDefault="0056112A" w:rsidP="0056112A">
      <w:pPr>
        <w:jc w:val="both"/>
        <w:rPr>
          <w:sz w:val="20"/>
          <w:lang w:val="en-GB"/>
        </w:rPr>
      </w:pPr>
      <w:r>
        <w:rPr>
          <w:noProof/>
          <w:sz w:val="20"/>
          <w:lang w:val="en-US"/>
        </w:rPr>
        <w:lastRenderedPageBreak/>
        <w:drawing>
          <wp:inline distT="0" distB="0" distL="0" distR="0" wp14:anchorId="50566D54" wp14:editId="1EAD1E1D">
            <wp:extent cx="8449203" cy="454638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2597" cy="4558976"/>
                    </a:xfrm>
                    <a:prstGeom prst="rect">
                      <a:avLst/>
                    </a:prstGeom>
                    <a:noFill/>
                  </pic:spPr>
                </pic:pic>
              </a:graphicData>
            </a:graphic>
          </wp:inline>
        </w:drawing>
      </w:r>
      <w:r>
        <w:rPr>
          <w:sz w:val="20"/>
          <w:lang w:val="en-GB"/>
        </w:rPr>
        <w:t xml:space="preserve"> </w:t>
      </w:r>
      <w:r w:rsidR="007B786A">
        <w:rPr>
          <w:sz w:val="20"/>
          <w:lang w:val="en-GB"/>
        </w:rPr>
        <w:t>Fig.</w:t>
      </w:r>
      <w:r>
        <w:rPr>
          <w:sz w:val="20"/>
          <w:lang w:val="en-GB"/>
        </w:rPr>
        <w:t xml:space="preserve"> S1</w:t>
      </w:r>
      <w:r w:rsidR="00AD466D">
        <w:rPr>
          <w:sz w:val="20"/>
          <w:lang w:val="en-GB"/>
        </w:rPr>
        <w:t>8</w:t>
      </w:r>
      <w:r>
        <w:rPr>
          <w:sz w:val="20"/>
          <w:lang w:val="en-GB"/>
        </w:rPr>
        <w:t xml:space="preserve">: </w:t>
      </w:r>
      <w:r w:rsidRPr="00F24974">
        <w:rPr>
          <w:b/>
          <w:sz w:val="20"/>
          <w:lang w:val="en-GB"/>
        </w:rPr>
        <w:t>a</w:t>
      </w:r>
      <w:r>
        <w:rPr>
          <w:sz w:val="20"/>
          <w:lang w:val="en-GB"/>
        </w:rPr>
        <w:t xml:space="preserve">, Urine-derived </w:t>
      </w:r>
      <w:r w:rsidRPr="008D520F">
        <w:rPr>
          <w:sz w:val="20"/>
          <w:lang w:val="en-GB"/>
        </w:rPr>
        <w:t>cfDNA fragment length histograms (n=</w:t>
      </w:r>
      <w:r>
        <w:rPr>
          <w:sz w:val="20"/>
          <w:lang w:val="en-GB"/>
        </w:rPr>
        <w:t>5</w:t>
      </w:r>
      <w:r w:rsidRPr="008D520F">
        <w:rPr>
          <w:sz w:val="20"/>
          <w:lang w:val="en-GB"/>
        </w:rPr>
        <w:t>,000,000 fragments per library are plotted)</w:t>
      </w:r>
      <w:r>
        <w:rPr>
          <w:sz w:val="20"/>
          <w:lang w:val="en-GB"/>
        </w:rPr>
        <w:t xml:space="preserve">. </w:t>
      </w:r>
      <w:r w:rsidRPr="008D520F">
        <w:rPr>
          <w:sz w:val="20"/>
          <w:lang w:val="en-GB"/>
        </w:rPr>
        <w:t>In the studied urine sample</w:t>
      </w:r>
      <w:r>
        <w:rPr>
          <w:sz w:val="20"/>
          <w:lang w:val="en-GB"/>
        </w:rPr>
        <w:t>s</w:t>
      </w:r>
      <w:r w:rsidRPr="008D520F">
        <w:rPr>
          <w:sz w:val="20"/>
          <w:lang w:val="en-GB"/>
        </w:rPr>
        <w:t xml:space="preserve">, the nucleosomal peak is shifted left </w:t>
      </w:r>
      <w:r>
        <w:rPr>
          <w:sz w:val="20"/>
          <w:lang w:val="en-GB"/>
        </w:rPr>
        <w:t>to between 130bp and 160bp</w:t>
      </w:r>
      <w:r w:rsidRPr="008D520F">
        <w:rPr>
          <w:sz w:val="20"/>
          <w:lang w:val="en-GB"/>
        </w:rPr>
        <w:t xml:space="preserve">, likely due to cfDNA degradation </w:t>
      </w:r>
      <w:r w:rsidRPr="008D520F">
        <w:rPr>
          <w:i/>
          <w:sz w:val="20"/>
          <w:lang w:val="en-GB"/>
        </w:rPr>
        <w:t>in vivo</w:t>
      </w:r>
      <w:r w:rsidRPr="008D520F">
        <w:rPr>
          <w:sz w:val="20"/>
          <w:lang w:val="en-GB"/>
        </w:rPr>
        <w:fldChar w:fldCharType="begin">
          <w:fldData xml:space="preserve">PEVuZE5vdGU+PENpdGU+PEF1dGhvcj5DaGVuZzwvQXV0aG9yPjxZZWFyPjIwMTc8L1llYXI+PFJl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</w:fldData>
        </w:fldChar>
      </w:r>
      <w:r w:rsidR="00242CE3">
        <w:rPr>
          <w:sz w:val="20"/>
          <w:lang w:val="en-GB"/>
        </w:rPr>
        <w:instrText xml:space="preserve"> ADDIN EN.CITE </w:instrText>
      </w:r>
      <w:r w:rsidR="00242CE3">
        <w:rPr>
          <w:sz w:val="20"/>
          <w:lang w:val="en-GB"/>
        </w:rPr>
        <w:fldChar w:fldCharType="begin">
          <w:fldData xml:space="preserve">PEVuZE5vdGU+PENpdGU+PEF1dGhvcj5DaGVuZzwvQXV0aG9yPjxZZWFyPjIwMTc8L1llYXI+PFJl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</w:fldData>
        </w:fldChar>
      </w:r>
      <w:r w:rsidR="00242CE3">
        <w:rPr>
          <w:sz w:val="20"/>
          <w:lang w:val="en-GB"/>
        </w:rPr>
        <w:instrText xml:space="preserve"> ADDIN EN.CITE.DATA </w:instrText>
      </w:r>
      <w:r w:rsidR="00242CE3">
        <w:rPr>
          <w:sz w:val="20"/>
          <w:lang w:val="en-GB"/>
        </w:rPr>
      </w:r>
      <w:r w:rsidR="00242CE3">
        <w:rPr>
          <w:sz w:val="20"/>
          <w:lang w:val="en-GB"/>
        </w:rPr>
        <w:fldChar w:fldCharType="end"/>
      </w:r>
      <w:r w:rsidRPr="008D520F">
        <w:rPr>
          <w:sz w:val="20"/>
          <w:lang w:val="en-GB"/>
        </w:rPr>
      </w:r>
      <w:r w:rsidRPr="008D520F">
        <w:rPr>
          <w:sz w:val="20"/>
          <w:lang w:val="en-GB"/>
        </w:rPr>
        <w:fldChar w:fldCharType="separate"/>
      </w:r>
      <w:r w:rsidR="00242CE3">
        <w:rPr>
          <w:noProof/>
          <w:sz w:val="20"/>
          <w:lang w:val="en-GB"/>
        </w:rPr>
        <w:t>[4]</w:t>
      </w:r>
      <w:r w:rsidRPr="008D520F">
        <w:rPr>
          <w:sz w:val="20"/>
          <w:lang w:val="en-GB"/>
        </w:rPr>
        <w:fldChar w:fldCharType="end"/>
      </w:r>
      <w:r w:rsidRPr="008D520F">
        <w:rPr>
          <w:sz w:val="20"/>
          <w:lang w:val="en-GB"/>
        </w:rPr>
        <w:t xml:space="preserve">. </w:t>
      </w:r>
      <w:r>
        <w:rPr>
          <w:sz w:val="20"/>
          <w:lang w:val="en-GB"/>
        </w:rPr>
        <w:t>The</w:t>
      </w:r>
      <w:r w:rsidRPr="008D520F">
        <w:rPr>
          <w:sz w:val="20"/>
          <w:lang w:val="en-GB"/>
        </w:rPr>
        <w:t xml:space="preserve"> 10.5bp periodicity </w:t>
      </w:r>
      <w:r>
        <w:rPr>
          <w:sz w:val="20"/>
          <w:lang w:val="en-GB"/>
        </w:rPr>
        <w:t xml:space="preserve">is </w:t>
      </w:r>
      <w:r w:rsidRPr="008D520F">
        <w:rPr>
          <w:sz w:val="20"/>
          <w:lang w:val="en-GB"/>
        </w:rPr>
        <w:t>accentuated</w:t>
      </w:r>
      <w:r>
        <w:rPr>
          <w:sz w:val="20"/>
          <w:lang w:val="en-GB"/>
        </w:rPr>
        <w:t>.</w:t>
      </w:r>
      <w:r w:rsidRPr="008D520F">
        <w:rPr>
          <w:sz w:val="20"/>
          <w:lang w:val="en-GB"/>
        </w:rPr>
        <w:t xml:space="preserve"> </w:t>
      </w:r>
      <w:r w:rsidRPr="00F24974">
        <w:rPr>
          <w:b/>
          <w:sz w:val="20"/>
          <w:lang w:val="en-GB"/>
        </w:rPr>
        <w:t>b</w:t>
      </w:r>
      <w:r>
        <w:rPr>
          <w:sz w:val="20"/>
          <w:lang w:val="en-GB"/>
        </w:rPr>
        <w:t>, Cumulative fragment length frequency graph for each sample.</w:t>
      </w:r>
    </w:p>
    <w:p w:rsidR="0056112A" w:rsidRDefault="0056112A" w:rsidP="0056112A">
      <w:pPr>
        <w:spacing w:after="160" w:line="259" w:lineRule="auto"/>
        <w:rPr>
          <w:lang w:val="en-GB"/>
        </w:rPr>
      </w:pPr>
    </w:p>
    <w:p w:rsidR="0056112A" w:rsidRDefault="0056112A" w:rsidP="0056112A">
      <w:pPr>
        <w:spacing w:after="160" w:line="259" w:lineRule="auto"/>
        <w:jc w:val="both"/>
        <w:rPr>
          <w:sz w:val="20"/>
          <w:lang w:val="en-GB"/>
        </w:rPr>
        <w:sectPr w:rsidR="0056112A" w:rsidSect="0056112A">
          <w:pgSz w:w="15840" w:h="12240" w:orient="landscape"/>
          <w:pgMar w:top="1417" w:right="1417" w:bottom="1417" w:left="1134" w:header="708" w:footer="708" w:gutter="0"/>
          <w:cols w:space="708"/>
          <w:docGrid w:linePitch="360"/>
        </w:sectPr>
      </w:pPr>
    </w:p>
    <w:p w:rsidR="0056112A" w:rsidRPr="008D520F" w:rsidRDefault="00AE2536" w:rsidP="0056112A">
      <w:pPr>
        <w:jc w:val="both"/>
        <w:rPr>
          <w:sz w:val="20"/>
          <w:lang w:val="en-GB"/>
        </w:rPr>
      </w:pPr>
      <w:r>
        <w:rPr>
          <w:noProof/>
          <w:sz w:val="20"/>
          <w:lang w:val="en-US"/>
        </w:rPr>
        <w:lastRenderedPageBreak/>
        <w:drawing>
          <wp:inline distT="0" distB="0" distL="0" distR="0" wp14:anchorId="6D7EE264">
            <wp:extent cx="5994965" cy="4977448"/>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1065" cy="4990815"/>
                    </a:xfrm>
                    <a:prstGeom prst="rect">
                      <a:avLst/>
                    </a:prstGeom>
                    <a:noFill/>
                  </pic:spPr>
                </pic:pic>
              </a:graphicData>
            </a:graphic>
          </wp:inline>
        </w:drawing>
      </w:r>
      <w:r w:rsidR="0056112A" w:rsidRPr="008D520F">
        <w:rPr>
          <w:sz w:val="20"/>
          <w:lang w:val="en-GB"/>
        </w:rPr>
        <w:t xml:space="preserve"> </w:t>
      </w:r>
      <w:r w:rsidR="007B786A">
        <w:rPr>
          <w:sz w:val="20"/>
          <w:lang w:val="en-GB"/>
        </w:rPr>
        <w:t>Fig.</w:t>
      </w:r>
      <w:r w:rsidR="0056112A" w:rsidRPr="008D520F">
        <w:rPr>
          <w:sz w:val="20"/>
          <w:lang w:val="en-GB"/>
        </w:rPr>
        <w:t xml:space="preserve"> S</w:t>
      </w:r>
      <w:r w:rsidR="0056112A">
        <w:rPr>
          <w:sz w:val="20"/>
          <w:lang w:val="en-GB"/>
        </w:rPr>
        <w:t>1</w:t>
      </w:r>
      <w:r w:rsidR="00AD466D">
        <w:rPr>
          <w:sz w:val="20"/>
          <w:lang w:val="en-GB"/>
        </w:rPr>
        <w:t>9</w:t>
      </w:r>
      <w:r w:rsidR="0056112A" w:rsidRPr="008D520F">
        <w:rPr>
          <w:sz w:val="20"/>
          <w:lang w:val="en-GB"/>
        </w:rPr>
        <w:t xml:space="preserve">: Violin plot of </w:t>
      </w:r>
      <w:r w:rsidR="0056112A">
        <w:rPr>
          <w:sz w:val="20"/>
          <w:lang w:val="en-GB"/>
        </w:rPr>
        <w:t>the interpeak distances (IPD) in the windowed protection score signal</w:t>
      </w:r>
      <w:r w:rsidR="0056112A" w:rsidRPr="008D520F">
        <w:rPr>
          <w:sz w:val="20"/>
          <w:lang w:val="en-GB"/>
        </w:rPr>
        <w:t>.</w:t>
      </w:r>
      <w:r w:rsidR="0056112A">
        <w:rPr>
          <w:sz w:val="20"/>
          <w:lang w:val="en-GB"/>
        </w:rPr>
        <w:t xml:space="preserve"> The IPD within 1kb of the transcription start site</w:t>
      </w:r>
      <w:r w:rsidR="0056112A" w:rsidRPr="008D520F">
        <w:rPr>
          <w:sz w:val="20"/>
          <w:lang w:val="en-GB"/>
        </w:rPr>
        <w:t xml:space="preserve"> of high- and low-expression genes in whole blood (measured in blood-derived cfDNA) and kidney tissue (measured in urine-derived cfDNA) were identified. The graph compares the IPDs around the </w:t>
      </w:r>
      <w:r w:rsidR="0056112A">
        <w:rPr>
          <w:sz w:val="20"/>
          <w:lang w:val="en-GB"/>
        </w:rPr>
        <w:t>transcription start site</w:t>
      </w:r>
      <w:r w:rsidR="0056112A" w:rsidRPr="008D520F">
        <w:rPr>
          <w:sz w:val="20"/>
          <w:lang w:val="en-GB"/>
        </w:rPr>
        <w:t xml:space="preserve"> of 2</w:t>
      </w:r>
      <w:r w:rsidR="0056112A">
        <w:rPr>
          <w:sz w:val="20"/>
          <w:lang w:val="en-GB"/>
        </w:rPr>
        <w:t>,</w:t>
      </w:r>
      <w:r w:rsidR="0056112A" w:rsidRPr="008D520F">
        <w:rPr>
          <w:sz w:val="20"/>
          <w:lang w:val="en-GB"/>
        </w:rPr>
        <w:t>500 high- vs. 2</w:t>
      </w:r>
      <w:r w:rsidR="0056112A">
        <w:rPr>
          <w:sz w:val="20"/>
          <w:lang w:val="en-GB"/>
        </w:rPr>
        <w:t>,</w:t>
      </w:r>
      <w:r w:rsidR="0056112A" w:rsidRPr="008D520F">
        <w:rPr>
          <w:sz w:val="20"/>
          <w:lang w:val="en-GB"/>
        </w:rPr>
        <w:t xml:space="preserve">500 low-expression genes in </w:t>
      </w:r>
      <w:r w:rsidR="0056112A">
        <w:rPr>
          <w:sz w:val="20"/>
          <w:lang w:val="en-GB"/>
        </w:rPr>
        <w:t xml:space="preserve">the merged dataset of </w:t>
      </w:r>
      <w:r w:rsidR="0056112A" w:rsidRPr="008D520F">
        <w:rPr>
          <w:sz w:val="20"/>
          <w:lang w:val="en-GB"/>
        </w:rPr>
        <w:t>healthy individual</w:t>
      </w:r>
      <w:r w:rsidR="0056112A">
        <w:rPr>
          <w:sz w:val="20"/>
          <w:lang w:val="en-GB"/>
        </w:rPr>
        <w:t xml:space="preserve"> K16</w:t>
      </w:r>
      <w:r w:rsidR="0056112A" w:rsidRPr="008D520F">
        <w:rPr>
          <w:sz w:val="20"/>
          <w:lang w:val="en-GB"/>
        </w:rPr>
        <w:t>. A small increase of mean IPD, as well as a larger proportion of long IPDs are visible around the TSS of more highly expressed genes</w:t>
      </w:r>
      <w:r w:rsidR="0056112A">
        <w:rPr>
          <w:sz w:val="20"/>
          <w:lang w:val="en-GB"/>
        </w:rPr>
        <w:t xml:space="preserve"> in the urine-derived cfDNA comparison</w:t>
      </w:r>
      <w:r w:rsidR="0056112A" w:rsidRPr="008D520F">
        <w:rPr>
          <w:sz w:val="20"/>
          <w:lang w:val="en-GB"/>
        </w:rPr>
        <w:t>. Thick central line: Q1, Q3; white dot: median; whiskers represent 1.5x interquartile range.</w:t>
      </w:r>
    </w:p>
    <w:p w:rsidR="0056112A" w:rsidRPr="008D520F" w:rsidRDefault="0056112A" w:rsidP="0056112A">
      <w:pPr>
        <w:spacing w:after="160" w:line="259" w:lineRule="auto"/>
        <w:rPr>
          <w:sz w:val="20"/>
          <w:lang w:val="en-GB"/>
        </w:rPr>
      </w:pPr>
    </w:p>
    <w:p w:rsidR="0056112A" w:rsidRDefault="0056112A" w:rsidP="0056112A">
      <w:pPr>
        <w:spacing w:after="160" w:line="259" w:lineRule="auto"/>
        <w:rPr>
          <w:sz w:val="20"/>
          <w:lang w:val="en-GB"/>
        </w:rPr>
        <w:sectPr w:rsidR="0056112A">
          <w:pgSz w:w="12240" w:h="15840"/>
          <w:pgMar w:top="1417" w:right="1417" w:bottom="1134" w:left="1417" w:header="708" w:footer="708" w:gutter="0"/>
          <w:cols w:space="708"/>
          <w:docGrid w:linePitch="360"/>
        </w:sectPr>
      </w:pPr>
    </w:p>
    <w:p w:rsidR="0056112A" w:rsidRPr="008D520F" w:rsidRDefault="00F14BD4" w:rsidP="0056112A">
      <w:pPr>
        <w:spacing w:after="160" w:line="259" w:lineRule="auto"/>
        <w:rPr>
          <w:lang w:val="en-GB"/>
        </w:rPr>
      </w:pPr>
      <w:r>
        <w:rPr>
          <w:noProof/>
          <w:lang w:val="en-US"/>
        </w:rPr>
        <w:lastRenderedPageBreak/>
        <w:drawing>
          <wp:inline distT="0" distB="0" distL="0" distR="0" wp14:anchorId="34489939">
            <wp:extent cx="8756650" cy="454272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89566" cy="4559800"/>
                    </a:xfrm>
                    <a:prstGeom prst="rect">
                      <a:avLst/>
                    </a:prstGeom>
                    <a:noFill/>
                  </pic:spPr>
                </pic:pic>
              </a:graphicData>
            </a:graphic>
          </wp:inline>
        </w:drawing>
      </w:r>
    </w:p>
    <w:p w:rsidR="0056112A" w:rsidRPr="00656DFA" w:rsidRDefault="007B786A" w:rsidP="0056112A">
      <w:pPr>
        <w:spacing w:after="160" w:line="259" w:lineRule="auto"/>
        <w:jc w:val="both"/>
        <w:rPr>
          <w:sz w:val="20"/>
          <w:lang w:val="en-GB"/>
        </w:rPr>
      </w:pPr>
      <w:r>
        <w:rPr>
          <w:sz w:val="20"/>
          <w:lang w:val="en-GB"/>
        </w:rPr>
        <w:t>Fig.</w:t>
      </w:r>
      <w:r w:rsidR="0056112A" w:rsidRPr="00656DFA">
        <w:rPr>
          <w:sz w:val="20"/>
          <w:lang w:val="en-GB"/>
        </w:rPr>
        <w:t xml:space="preserve"> S</w:t>
      </w:r>
      <w:r w:rsidR="00AD466D">
        <w:rPr>
          <w:sz w:val="20"/>
          <w:lang w:val="en-GB"/>
        </w:rPr>
        <w:t>20</w:t>
      </w:r>
      <w:r w:rsidR="0056112A" w:rsidRPr="00656DFA">
        <w:rPr>
          <w:sz w:val="20"/>
          <w:lang w:val="en-GB"/>
        </w:rPr>
        <w:t>:</w:t>
      </w:r>
      <w:r w:rsidR="0056112A">
        <w:rPr>
          <w:sz w:val="20"/>
          <w:lang w:val="en-GB"/>
        </w:rPr>
        <w:t xml:space="preserve"> Methylation profile</w:t>
      </w:r>
      <w:r w:rsidR="00D75B05">
        <w:rPr>
          <w:sz w:val="20"/>
          <w:lang w:val="en-GB"/>
        </w:rPr>
        <w:t>s</w:t>
      </w:r>
      <w:r w:rsidR="0056112A">
        <w:rPr>
          <w:sz w:val="20"/>
          <w:lang w:val="en-GB"/>
        </w:rPr>
        <w:t xml:space="preserve"> at 7890 informative differentially methylated CpGs of all analysed blood-derived cfDNA samples. Bisulfite-converted and enzymatically converted samples, respectively, cluster together. Methylation levels were assessed in merged datasets, where applicable.</w:t>
      </w:r>
    </w:p>
    <w:p w:rsidR="0056112A" w:rsidRDefault="0056112A" w:rsidP="0056112A">
      <w:pPr>
        <w:spacing w:after="160" w:line="259" w:lineRule="auto"/>
        <w:rPr>
          <w:sz w:val="20"/>
          <w:lang w:val="en-GB"/>
        </w:rPr>
      </w:pPr>
    </w:p>
    <w:p w:rsidR="00242CE3" w:rsidRPr="00656DFA" w:rsidRDefault="00242CE3" w:rsidP="0056112A">
      <w:pPr>
        <w:spacing w:after="160" w:line="259" w:lineRule="auto"/>
        <w:rPr>
          <w:sz w:val="20"/>
          <w:lang w:val="en-GB"/>
        </w:rPr>
        <w:sectPr w:rsidR="00242CE3" w:rsidRPr="00656DFA" w:rsidSect="00B36E45">
          <w:pgSz w:w="15840" w:h="12240" w:orient="landscape"/>
          <w:pgMar w:top="1417" w:right="1417" w:bottom="1417" w:left="1134" w:header="708" w:footer="708" w:gutter="0"/>
          <w:cols w:space="708"/>
          <w:docGrid w:linePitch="360"/>
        </w:sectPr>
      </w:pPr>
    </w:p>
    <w:p w:rsidR="00E310BE" w:rsidRDefault="008512CA" w:rsidP="00E310BE">
      <w:pPr>
        <w:spacing w:after="160" w:line="259" w:lineRule="auto"/>
        <w:rPr>
          <w:sz w:val="20"/>
          <w:lang w:val="en-GB"/>
        </w:rPr>
      </w:pPr>
      <w:r w:rsidRPr="008512CA">
        <w:rPr>
          <w:noProof/>
          <w:sz w:val="20"/>
          <w:lang w:val="en-US"/>
        </w:rPr>
        <w:lastRenderedPageBreak/>
        <w:drawing>
          <wp:inline distT="0" distB="0" distL="0" distR="0">
            <wp:extent cx="5972810" cy="5069442"/>
            <wp:effectExtent l="0" t="0" r="8890" b="0"/>
            <wp:docPr id="16" name="Picture 16" descr="U:\_Forschung\FSGS_KFO\Genome Medicine\Final_edit\Figure 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_Forschung\FSGS_KFO\Genome Medicine\Final_edit\Figure S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810" cy="5069442"/>
                    </a:xfrm>
                    <a:prstGeom prst="rect">
                      <a:avLst/>
                    </a:prstGeom>
                    <a:noFill/>
                    <a:ln>
                      <a:noFill/>
                    </a:ln>
                  </pic:spPr>
                </pic:pic>
              </a:graphicData>
            </a:graphic>
          </wp:inline>
        </w:drawing>
      </w:r>
    </w:p>
    <w:p w:rsidR="00E310BE" w:rsidRDefault="007B786A" w:rsidP="00E310BE">
      <w:pPr>
        <w:spacing w:after="160" w:line="259" w:lineRule="auto"/>
        <w:jc w:val="both"/>
        <w:rPr>
          <w:sz w:val="20"/>
          <w:lang w:val="en-GB"/>
        </w:rPr>
      </w:pPr>
      <w:r>
        <w:rPr>
          <w:sz w:val="20"/>
          <w:lang w:val="en-GB"/>
        </w:rPr>
        <w:t>Fig.</w:t>
      </w:r>
      <w:r w:rsidR="00E310BE">
        <w:rPr>
          <w:sz w:val="20"/>
          <w:lang w:val="en-GB"/>
        </w:rPr>
        <w:t xml:space="preserve"> S</w:t>
      </w:r>
      <w:r w:rsidR="00AD466D">
        <w:rPr>
          <w:sz w:val="20"/>
          <w:lang w:val="en-GB"/>
        </w:rPr>
        <w:t>21</w:t>
      </w:r>
      <w:r w:rsidR="00E310BE">
        <w:rPr>
          <w:sz w:val="20"/>
          <w:lang w:val="en-GB"/>
        </w:rPr>
        <w:t xml:space="preserve">: Methylation deconvolution results for all analysed blood-derived cfDNA samples. Different components of the hematopoietic system make up the majority in all studied datasets. Fractions of </w:t>
      </w:r>
      <w:r w:rsidR="00E310BE">
        <w:rPr>
          <w:rFonts w:ascii="Arial" w:hAnsi="Arial" w:cs="Arial"/>
          <w:sz w:val="20"/>
          <w:lang w:val="en-GB"/>
        </w:rPr>
        <w:t>≥</w:t>
      </w:r>
      <w:r w:rsidR="00E310BE">
        <w:rPr>
          <w:sz w:val="20"/>
          <w:lang w:val="en-GB"/>
        </w:rPr>
        <w:t xml:space="preserve">1% are shown. </w:t>
      </w:r>
      <w:r w:rsidR="00E310BE">
        <w:rPr>
          <w:sz w:val="20"/>
          <w:lang w:val="en-US"/>
        </w:rPr>
        <w:t>Fractions below 1% are summarized under “other”. The displayed fractions represent the best fit under a constraint of the sum of all tissues being less than or equal to 1. Hence, the best fit of tissue proportions may or may not sum up to 1, leaving the remainder without a tissue-of-origin determination (white slices labelled “n/d”). Higher proportions of non-blood cfDNA origins are evident in patients suffering from acute kidney injury or acute kidney graft dysfunction (P25, P27, P29; average±SD non-blood: 23.9%±4.4%) compared to healthy individuals (K16-K21; 9.3%±3.7%) and the post-recovery patient dataset (P29 re). In the patient with acute pancreatitis (P30), cfDNA of pancreatic origin is recognized.</w:t>
      </w:r>
    </w:p>
    <w:p w:rsidR="00E310BE" w:rsidRDefault="00E310BE" w:rsidP="00E310BE">
      <w:pPr>
        <w:spacing w:after="160" w:line="259" w:lineRule="auto"/>
        <w:rPr>
          <w:sz w:val="20"/>
          <w:lang w:val="en-GB"/>
        </w:rPr>
        <w:sectPr w:rsidR="00E310BE">
          <w:pgSz w:w="12240" w:h="15840"/>
          <w:pgMar w:top="1417" w:right="1417" w:bottom="1134" w:left="1417" w:header="708" w:footer="708" w:gutter="0"/>
          <w:cols w:space="708"/>
          <w:docGrid w:linePitch="360"/>
        </w:sectPr>
      </w:pPr>
    </w:p>
    <w:p w:rsidR="00E310BE" w:rsidRDefault="00734B9C" w:rsidP="00E310BE">
      <w:pPr>
        <w:spacing w:after="160" w:line="259" w:lineRule="auto"/>
        <w:jc w:val="both"/>
        <w:rPr>
          <w:sz w:val="20"/>
          <w:lang w:val="en-GB"/>
        </w:rPr>
      </w:pPr>
      <w:r w:rsidRPr="00734B9C">
        <w:rPr>
          <w:noProof/>
          <w:sz w:val="20"/>
          <w:lang w:val="en-US"/>
        </w:rPr>
        <w:lastRenderedPageBreak/>
        <w:drawing>
          <wp:inline distT="0" distB="0" distL="0" distR="0">
            <wp:extent cx="8438515" cy="2968029"/>
            <wp:effectExtent l="0" t="0" r="635" b="3810"/>
            <wp:docPr id="17" name="Picture 17" descr="U:\_Forschung\FSGS_KFO\Genome Medicine\Final_edit\Figure 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_Forschung\FSGS_KFO\Genome Medicine\Final_edit\Figure S2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38515" cy="2968029"/>
                    </a:xfrm>
                    <a:prstGeom prst="rect">
                      <a:avLst/>
                    </a:prstGeom>
                    <a:noFill/>
                    <a:ln>
                      <a:noFill/>
                    </a:ln>
                  </pic:spPr>
                </pic:pic>
              </a:graphicData>
            </a:graphic>
          </wp:inline>
        </w:drawing>
      </w:r>
    </w:p>
    <w:p w:rsidR="00E310BE" w:rsidRDefault="007B786A" w:rsidP="00E310BE">
      <w:pPr>
        <w:spacing w:after="160" w:line="259" w:lineRule="auto"/>
        <w:jc w:val="both"/>
        <w:rPr>
          <w:sz w:val="20"/>
          <w:lang w:val="en-GB"/>
        </w:rPr>
      </w:pPr>
      <w:r>
        <w:rPr>
          <w:sz w:val="20"/>
          <w:lang w:val="en-GB"/>
        </w:rPr>
        <w:t>Fig.</w:t>
      </w:r>
      <w:r w:rsidR="00E310BE">
        <w:rPr>
          <w:sz w:val="20"/>
          <w:lang w:val="en-GB"/>
        </w:rPr>
        <w:t xml:space="preserve"> S</w:t>
      </w:r>
      <w:r w:rsidR="00AD466D">
        <w:rPr>
          <w:sz w:val="20"/>
          <w:lang w:val="en-GB"/>
        </w:rPr>
        <w:t>22</w:t>
      </w:r>
      <w:r w:rsidR="00E310BE">
        <w:rPr>
          <w:sz w:val="20"/>
          <w:lang w:val="en-GB"/>
        </w:rPr>
        <w:t>: Methylation deconvolution results for all analysed urine-derived cfDNA samples. cfDNA fractions originating from immune cells and kidney cells make up the majority. The proportion of renal cfDNA varies widely. Smaller proportions of biologically implausible fractions like “Head_neck_larynx” and “Prostate” in female individuals are likely artefactual, caused by these tissues’ reference methylation profiles’ proximity to “Bladder” and “Kidney” (</w:t>
      </w:r>
      <w:r>
        <w:rPr>
          <w:sz w:val="20"/>
          <w:lang w:val="en-GB"/>
        </w:rPr>
        <w:t>Fig.</w:t>
      </w:r>
      <w:r w:rsidR="00E310BE">
        <w:rPr>
          <w:sz w:val="20"/>
          <w:lang w:val="en-GB"/>
        </w:rPr>
        <w:t xml:space="preserve"> S</w:t>
      </w:r>
      <w:r w:rsidR="007909B5">
        <w:rPr>
          <w:sz w:val="20"/>
          <w:lang w:val="en-GB"/>
        </w:rPr>
        <w:t>9</w:t>
      </w:r>
      <w:r w:rsidR="00E310BE">
        <w:rPr>
          <w:sz w:val="20"/>
          <w:lang w:val="en-GB"/>
        </w:rPr>
        <w:t>).</w:t>
      </w:r>
      <w:r w:rsidR="00E310BE">
        <w:rPr>
          <w:sz w:val="20"/>
          <w:lang w:val="en-GB"/>
        </w:rPr>
        <w:br w:type="page"/>
      </w:r>
    </w:p>
    <w:p w:rsidR="00E310BE" w:rsidRDefault="00E310BE" w:rsidP="00E310BE">
      <w:pPr>
        <w:spacing w:after="160" w:line="259" w:lineRule="auto"/>
        <w:jc w:val="both"/>
        <w:rPr>
          <w:sz w:val="20"/>
          <w:lang w:val="en-GB"/>
        </w:rPr>
      </w:pPr>
      <w:r>
        <w:rPr>
          <w:noProof/>
          <w:sz w:val="20"/>
          <w:lang w:val="en-US"/>
        </w:rPr>
        <w:lastRenderedPageBreak/>
        <w:drawing>
          <wp:inline distT="0" distB="0" distL="0" distR="0" wp14:anchorId="65BBEC98" wp14:editId="757072A2">
            <wp:extent cx="8669842" cy="4378326"/>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79703" cy="4383306"/>
                    </a:xfrm>
                    <a:prstGeom prst="rect">
                      <a:avLst/>
                    </a:prstGeom>
                    <a:noFill/>
                  </pic:spPr>
                </pic:pic>
              </a:graphicData>
            </a:graphic>
          </wp:inline>
        </w:drawing>
      </w:r>
    </w:p>
    <w:p w:rsidR="00E310BE" w:rsidRDefault="007B786A" w:rsidP="00E310BE">
      <w:pPr>
        <w:spacing w:after="160" w:line="259" w:lineRule="auto"/>
        <w:jc w:val="both"/>
        <w:rPr>
          <w:sz w:val="20"/>
          <w:lang w:val="en-GB"/>
        </w:rPr>
      </w:pPr>
      <w:r>
        <w:rPr>
          <w:sz w:val="20"/>
          <w:lang w:val="en-GB"/>
        </w:rPr>
        <w:t>Fig.</w:t>
      </w:r>
      <w:r w:rsidR="00E310BE">
        <w:rPr>
          <w:sz w:val="20"/>
          <w:lang w:val="en-GB"/>
        </w:rPr>
        <w:t xml:space="preserve"> S2</w:t>
      </w:r>
      <w:r w:rsidR="00AD466D">
        <w:rPr>
          <w:sz w:val="20"/>
          <w:lang w:val="en-GB"/>
        </w:rPr>
        <w:t>3</w:t>
      </w:r>
      <w:r w:rsidR="00E310BE">
        <w:rPr>
          <w:sz w:val="20"/>
          <w:lang w:val="en-GB"/>
        </w:rPr>
        <w:t xml:space="preserve">: </w:t>
      </w:r>
      <w:r w:rsidR="00E310BE" w:rsidRPr="003277FB">
        <w:rPr>
          <w:b/>
          <w:sz w:val="20"/>
          <w:lang w:val="en-GB"/>
        </w:rPr>
        <w:t>a</w:t>
      </w:r>
      <w:r w:rsidR="00E310BE">
        <w:rPr>
          <w:sz w:val="20"/>
          <w:lang w:val="en-GB"/>
        </w:rPr>
        <w:t xml:space="preserve">, </w:t>
      </w:r>
      <w:r w:rsidR="00E310BE" w:rsidRPr="008D520F">
        <w:rPr>
          <w:sz w:val="20"/>
          <w:lang w:val="en-GB"/>
        </w:rPr>
        <w:t xml:space="preserve">Scatterplot of </w:t>
      </w:r>
      <w:r w:rsidR="00E310BE">
        <w:rPr>
          <w:sz w:val="20"/>
          <w:lang w:val="en-GB"/>
        </w:rPr>
        <w:t xml:space="preserve">renal cfDNA fractions calculated from methylation </w:t>
      </w:r>
      <w:r w:rsidR="00E310BE" w:rsidRPr="008D520F">
        <w:rPr>
          <w:sz w:val="20"/>
          <w:lang w:val="en-GB"/>
        </w:rPr>
        <w:t xml:space="preserve">deconvolution vs. </w:t>
      </w:r>
      <w:r w:rsidR="00E310BE">
        <w:rPr>
          <w:sz w:val="20"/>
          <w:lang w:val="en-GB"/>
        </w:rPr>
        <w:t xml:space="preserve">calculated from </w:t>
      </w:r>
      <w:r w:rsidR="00E310BE" w:rsidRPr="008D520F">
        <w:rPr>
          <w:sz w:val="20"/>
          <w:lang w:val="en-GB"/>
        </w:rPr>
        <w:t xml:space="preserve">donor </w:t>
      </w:r>
      <w:r w:rsidR="00E310BE">
        <w:rPr>
          <w:sz w:val="20"/>
          <w:lang w:val="en-GB"/>
        </w:rPr>
        <w:t>SNP</w:t>
      </w:r>
      <w:r w:rsidR="00E310BE" w:rsidRPr="008D520F">
        <w:rPr>
          <w:sz w:val="20"/>
          <w:lang w:val="en-GB"/>
        </w:rPr>
        <w:t>s (</w:t>
      </w:r>
      <w:r w:rsidR="00E310BE">
        <w:rPr>
          <w:sz w:val="20"/>
          <w:lang w:val="en-GB"/>
        </w:rPr>
        <w:t xml:space="preserve">measurements only possible in patients with kidney transplant: P27, P29 and P29 resampling in both blood and urine, </w:t>
      </w:r>
      <w:r w:rsidR="00E310BE" w:rsidRPr="008D520F">
        <w:rPr>
          <w:sz w:val="20"/>
          <w:lang w:val="en-GB"/>
        </w:rPr>
        <w:t>n=6 measurement pairs).</w:t>
      </w:r>
      <w:r w:rsidR="00E310BE">
        <w:rPr>
          <w:sz w:val="20"/>
          <w:lang w:val="en-GB"/>
        </w:rPr>
        <w:t xml:space="preserve"> For P27, a total of 1,326 SNP were used, for P29 a total of 776 SNPs.</w:t>
      </w:r>
      <w:r w:rsidR="00E310BE" w:rsidRPr="008D520F">
        <w:rPr>
          <w:sz w:val="20"/>
          <w:lang w:val="en-GB"/>
        </w:rPr>
        <w:t xml:space="preserve"> </w:t>
      </w:r>
      <w:r w:rsidR="00E310BE" w:rsidRPr="008D520F">
        <w:rPr>
          <w:b/>
          <w:sz w:val="20"/>
          <w:lang w:val="en-GB"/>
        </w:rPr>
        <w:t>b</w:t>
      </w:r>
      <w:r w:rsidR="00E310BE" w:rsidRPr="008D520F">
        <w:rPr>
          <w:sz w:val="20"/>
          <w:lang w:val="en-GB"/>
        </w:rPr>
        <w:t>, Deconvolution-calculated renal cfDNA fraction in blood in healthy controls</w:t>
      </w:r>
      <w:r w:rsidR="00E310BE">
        <w:rPr>
          <w:sz w:val="20"/>
          <w:lang w:val="en-GB"/>
        </w:rPr>
        <w:t xml:space="preserve"> K16-K21</w:t>
      </w:r>
      <w:r w:rsidR="00E310BE" w:rsidRPr="008D520F">
        <w:rPr>
          <w:sz w:val="20"/>
          <w:lang w:val="en-GB"/>
        </w:rPr>
        <w:t xml:space="preserve"> (n=</w:t>
      </w:r>
      <w:r w:rsidR="00E310BE">
        <w:rPr>
          <w:sz w:val="20"/>
          <w:lang w:val="en-GB"/>
        </w:rPr>
        <w:t>6</w:t>
      </w:r>
      <w:r w:rsidR="00E310BE" w:rsidRPr="008D520F">
        <w:rPr>
          <w:sz w:val="20"/>
          <w:lang w:val="en-GB"/>
        </w:rPr>
        <w:t>) vs. patients</w:t>
      </w:r>
      <w:r w:rsidR="00E310BE">
        <w:rPr>
          <w:sz w:val="20"/>
          <w:lang w:val="en-GB"/>
        </w:rPr>
        <w:t xml:space="preserve"> P25, P27 and P29</w:t>
      </w:r>
      <w:r w:rsidR="00E310BE" w:rsidRPr="008D520F">
        <w:rPr>
          <w:sz w:val="20"/>
          <w:lang w:val="en-GB"/>
        </w:rPr>
        <w:t xml:space="preserve"> (n=3).</w:t>
      </w:r>
      <w:r w:rsidR="00E310BE">
        <w:rPr>
          <w:sz w:val="20"/>
          <w:lang w:val="en-GB"/>
        </w:rPr>
        <w:t xml:space="preserve"> Error bars represent SEM. AKI: acute kidney injury, AGD: acute graft dysfunction.</w:t>
      </w:r>
    </w:p>
    <w:p w:rsidR="00E310BE" w:rsidRDefault="00E310BE" w:rsidP="00E310BE">
      <w:pPr>
        <w:spacing w:after="160" w:line="259" w:lineRule="auto"/>
        <w:rPr>
          <w:sz w:val="20"/>
          <w:lang w:val="en-GB"/>
        </w:rPr>
      </w:pPr>
    </w:p>
    <w:p w:rsidR="00E310BE" w:rsidRDefault="00E310BE" w:rsidP="00E310BE">
      <w:pPr>
        <w:spacing w:after="160" w:line="259" w:lineRule="auto"/>
        <w:jc w:val="both"/>
        <w:rPr>
          <w:sz w:val="20"/>
          <w:lang w:val="en-GB"/>
        </w:rPr>
      </w:pPr>
      <w:r>
        <w:rPr>
          <w:sz w:val="20"/>
          <w:lang w:val="en-GB"/>
        </w:rPr>
        <w:br w:type="page"/>
      </w:r>
    </w:p>
    <w:p w:rsidR="00E310BE" w:rsidRDefault="00E310BE" w:rsidP="00E310BE">
      <w:pPr>
        <w:spacing w:after="160" w:line="259" w:lineRule="auto"/>
        <w:jc w:val="both"/>
        <w:rPr>
          <w:sz w:val="20"/>
          <w:lang w:val="en-GB"/>
        </w:rPr>
      </w:pPr>
      <w:r>
        <w:rPr>
          <w:noProof/>
          <w:sz w:val="20"/>
          <w:lang w:val="en-US"/>
        </w:rPr>
        <w:lastRenderedPageBreak/>
        <w:drawing>
          <wp:inline distT="0" distB="0" distL="0" distR="0" wp14:anchorId="11D56F3F" wp14:editId="44197A23">
            <wp:extent cx="8573824" cy="448323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00733" cy="4497309"/>
                    </a:xfrm>
                    <a:prstGeom prst="rect">
                      <a:avLst/>
                    </a:prstGeom>
                    <a:noFill/>
                  </pic:spPr>
                </pic:pic>
              </a:graphicData>
            </a:graphic>
          </wp:inline>
        </w:drawing>
      </w:r>
    </w:p>
    <w:p w:rsidR="00E310BE" w:rsidRDefault="007B786A" w:rsidP="00E310BE">
      <w:pPr>
        <w:spacing w:after="160" w:line="259" w:lineRule="auto"/>
        <w:jc w:val="both"/>
        <w:rPr>
          <w:sz w:val="20"/>
          <w:lang w:val="en-GB"/>
        </w:rPr>
      </w:pPr>
      <w:r>
        <w:rPr>
          <w:sz w:val="20"/>
          <w:lang w:val="en-GB"/>
        </w:rPr>
        <w:t>Fig.</w:t>
      </w:r>
      <w:r w:rsidR="00E310BE">
        <w:rPr>
          <w:sz w:val="20"/>
          <w:lang w:val="en-GB"/>
        </w:rPr>
        <w:t xml:space="preserve"> S2</w:t>
      </w:r>
      <w:r w:rsidR="006F15DA">
        <w:rPr>
          <w:sz w:val="20"/>
          <w:lang w:val="en-GB"/>
        </w:rPr>
        <w:t>4</w:t>
      </w:r>
      <w:r w:rsidR="00E310BE">
        <w:rPr>
          <w:sz w:val="20"/>
          <w:lang w:val="en-GB"/>
        </w:rPr>
        <w:t xml:space="preserve">: Deconvolution-calculated cfDNA fractions with liver and pancreas tissue-of-origin. The highest levels of hepatic (~11%) and pancreatic (~2.5%) cfDNA were observed in patient P30 with acute necrotising pancreatitis and elevated liver enzymes (Table </w:t>
      </w:r>
      <w:r w:rsidR="00EC3C15">
        <w:rPr>
          <w:sz w:val="20"/>
          <w:lang w:val="en-GB"/>
        </w:rPr>
        <w:t>S</w:t>
      </w:r>
      <w:r w:rsidR="00C62F58">
        <w:rPr>
          <w:sz w:val="20"/>
          <w:lang w:val="en-GB"/>
        </w:rPr>
        <w:t>8</w:t>
      </w:r>
      <w:r w:rsidR="00E310BE">
        <w:rPr>
          <w:sz w:val="20"/>
          <w:lang w:val="en-GB"/>
        </w:rPr>
        <w:t>).</w:t>
      </w:r>
    </w:p>
    <w:p w:rsidR="00E310BE" w:rsidRDefault="00E310BE" w:rsidP="00E310BE">
      <w:pPr>
        <w:spacing w:after="160" w:line="259" w:lineRule="auto"/>
        <w:jc w:val="both"/>
        <w:rPr>
          <w:sz w:val="20"/>
          <w:lang w:val="en-GB"/>
        </w:rPr>
        <w:sectPr w:rsidR="00E310BE" w:rsidSect="00331FD4">
          <w:pgSz w:w="15840" w:h="12240" w:orient="landscape"/>
          <w:pgMar w:top="1417" w:right="1417" w:bottom="1417" w:left="1134" w:header="708" w:footer="708" w:gutter="0"/>
          <w:cols w:space="708"/>
          <w:docGrid w:linePitch="360"/>
        </w:sectPr>
      </w:pPr>
    </w:p>
    <w:p w:rsidR="00E310BE" w:rsidRPr="008D520F" w:rsidRDefault="00AE2536" w:rsidP="00E310BE">
      <w:pPr>
        <w:jc w:val="both"/>
        <w:rPr>
          <w:szCs w:val="28"/>
          <w:lang w:val="en-GB"/>
        </w:rPr>
      </w:pPr>
      <w:r>
        <w:rPr>
          <w:noProof/>
          <w:szCs w:val="28"/>
          <w:lang w:val="en-US"/>
        </w:rPr>
        <w:lastRenderedPageBreak/>
        <w:drawing>
          <wp:inline distT="0" distB="0" distL="0" distR="0" wp14:anchorId="0B7B6234">
            <wp:extent cx="5973746" cy="4193453"/>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7862" cy="4210382"/>
                    </a:xfrm>
                    <a:prstGeom prst="rect">
                      <a:avLst/>
                    </a:prstGeom>
                    <a:noFill/>
                  </pic:spPr>
                </pic:pic>
              </a:graphicData>
            </a:graphic>
          </wp:inline>
        </w:drawing>
      </w:r>
    </w:p>
    <w:p w:rsidR="00E310BE" w:rsidRPr="008D520F" w:rsidRDefault="007B786A" w:rsidP="00E310BE">
      <w:pPr>
        <w:jc w:val="both"/>
        <w:rPr>
          <w:sz w:val="20"/>
          <w:szCs w:val="28"/>
          <w:lang w:val="en-GB"/>
        </w:rPr>
      </w:pPr>
      <w:r>
        <w:rPr>
          <w:sz w:val="20"/>
          <w:szCs w:val="28"/>
          <w:lang w:val="en-GB"/>
        </w:rPr>
        <w:t>Fig.</w:t>
      </w:r>
      <w:r w:rsidR="00E310BE" w:rsidRPr="008D520F">
        <w:rPr>
          <w:sz w:val="20"/>
          <w:szCs w:val="28"/>
          <w:lang w:val="en-GB"/>
        </w:rPr>
        <w:t xml:space="preserve"> S</w:t>
      </w:r>
      <w:r w:rsidR="00E310BE">
        <w:rPr>
          <w:sz w:val="20"/>
          <w:szCs w:val="28"/>
          <w:lang w:val="en-GB"/>
        </w:rPr>
        <w:t>2</w:t>
      </w:r>
      <w:r w:rsidR="006F15DA">
        <w:rPr>
          <w:sz w:val="20"/>
          <w:szCs w:val="28"/>
          <w:lang w:val="en-GB"/>
        </w:rPr>
        <w:t>5</w:t>
      </w:r>
      <w:r w:rsidR="00E310BE" w:rsidRPr="008D520F">
        <w:rPr>
          <w:sz w:val="20"/>
          <w:szCs w:val="28"/>
          <w:lang w:val="en-GB"/>
        </w:rPr>
        <w:t xml:space="preserve">: </w:t>
      </w:r>
      <w:r w:rsidR="00E310BE">
        <w:rPr>
          <w:sz w:val="20"/>
          <w:szCs w:val="28"/>
          <w:lang w:val="en-GB"/>
        </w:rPr>
        <w:t>Deconvolution results: p</w:t>
      </w:r>
      <w:r w:rsidR="00E310BE" w:rsidRPr="008D520F">
        <w:rPr>
          <w:sz w:val="20"/>
          <w:szCs w:val="28"/>
          <w:lang w:val="en-GB"/>
        </w:rPr>
        <w:t xml:space="preserve">air-wise comparison of </w:t>
      </w:r>
      <w:r w:rsidR="00E310BE">
        <w:rPr>
          <w:sz w:val="20"/>
          <w:szCs w:val="28"/>
          <w:lang w:val="en-GB"/>
        </w:rPr>
        <w:t xml:space="preserve">all </w:t>
      </w:r>
      <w:r w:rsidR="00E310BE" w:rsidRPr="008D520F">
        <w:rPr>
          <w:sz w:val="20"/>
          <w:szCs w:val="28"/>
          <w:lang w:val="en-GB"/>
        </w:rPr>
        <w:t>replicates for each sample</w:t>
      </w:r>
      <w:r w:rsidR="00E310BE">
        <w:rPr>
          <w:sz w:val="20"/>
          <w:szCs w:val="28"/>
          <w:lang w:val="en-GB"/>
        </w:rPr>
        <w:t xml:space="preserve"> from the discovery cohort</w:t>
      </w:r>
      <w:r w:rsidR="00E310BE" w:rsidRPr="008D520F">
        <w:rPr>
          <w:sz w:val="20"/>
          <w:szCs w:val="28"/>
          <w:lang w:val="en-GB"/>
        </w:rPr>
        <w:t xml:space="preserve">, where possible. Left: </w:t>
      </w:r>
      <w:r w:rsidR="00E310BE">
        <w:rPr>
          <w:sz w:val="20"/>
          <w:szCs w:val="28"/>
          <w:lang w:val="en-GB"/>
        </w:rPr>
        <w:t xml:space="preserve">healthy </w:t>
      </w:r>
      <w:r w:rsidR="00E310BE" w:rsidRPr="008D520F">
        <w:rPr>
          <w:sz w:val="20"/>
          <w:szCs w:val="28"/>
          <w:lang w:val="en-GB"/>
        </w:rPr>
        <w:t xml:space="preserve">control samples. Right: </w:t>
      </w:r>
      <w:r w:rsidR="00E310BE">
        <w:rPr>
          <w:sz w:val="20"/>
          <w:szCs w:val="28"/>
          <w:lang w:val="en-GB"/>
        </w:rPr>
        <w:t>acute kidney injury/graft dysfunction (AKI/AGD) patient</w:t>
      </w:r>
      <w:r w:rsidR="00E310BE" w:rsidRPr="008D520F">
        <w:rPr>
          <w:sz w:val="20"/>
          <w:szCs w:val="28"/>
          <w:lang w:val="en-GB"/>
        </w:rPr>
        <w:t xml:space="preserve"> samples. For the control sample K17 and patient sample P27, only two replicates of blood-derived cfDNA were </w:t>
      </w:r>
      <w:r w:rsidR="00E310BE">
        <w:rPr>
          <w:sz w:val="20"/>
          <w:szCs w:val="28"/>
          <w:lang w:val="en-GB"/>
        </w:rPr>
        <w:t>sequenced</w:t>
      </w:r>
      <w:r w:rsidR="00E310BE" w:rsidRPr="008D520F">
        <w:rPr>
          <w:sz w:val="20"/>
          <w:szCs w:val="28"/>
          <w:lang w:val="en-GB"/>
        </w:rPr>
        <w:t>. The urine-derived cfDNA of K18 was sequenced from a single library.</w:t>
      </w:r>
      <w:r w:rsidR="00E310BE">
        <w:rPr>
          <w:sz w:val="20"/>
          <w:szCs w:val="28"/>
          <w:lang w:val="en-GB"/>
        </w:rPr>
        <w:t xml:space="preserve"> The samples of healthy control K17 were collected on subsequent days at 8:00am, noon, and 9:30pm.</w:t>
      </w:r>
      <w:r w:rsidR="00E310BE" w:rsidRPr="008D520F">
        <w:rPr>
          <w:sz w:val="20"/>
          <w:szCs w:val="28"/>
          <w:lang w:val="en-GB"/>
        </w:rPr>
        <w:t xml:space="preserve"> K16, K17, K18: healthy controls. P25, P27, P29: AKI</w:t>
      </w:r>
      <w:r w:rsidR="00E310BE">
        <w:rPr>
          <w:sz w:val="20"/>
          <w:szCs w:val="28"/>
          <w:lang w:val="en-GB"/>
        </w:rPr>
        <w:t>/AGD</w:t>
      </w:r>
      <w:r w:rsidR="00E310BE" w:rsidRPr="008D520F">
        <w:rPr>
          <w:sz w:val="20"/>
          <w:szCs w:val="28"/>
          <w:lang w:val="en-GB"/>
        </w:rPr>
        <w:t xml:space="preserve"> patients. Blood cfDNA samples are marked “B”, urine cfDNA samples are marked “U”. Light-blue shading: Pearson’s R correlation coefficient, yellow shading: associated p-values.</w:t>
      </w:r>
    </w:p>
    <w:p w:rsidR="0004774B" w:rsidRPr="006620D4" w:rsidRDefault="0004774B" w:rsidP="006620D4">
      <w:pPr>
        <w:spacing w:after="160" w:line="259" w:lineRule="auto"/>
        <w:jc w:val="both"/>
        <w:rPr>
          <w:sz w:val="20"/>
          <w:szCs w:val="20"/>
          <w:lang w:val="en-GB"/>
        </w:rPr>
        <w:sectPr w:rsidR="0004774B" w:rsidRPr="006620D4">
          <w:pgSz w:w="12240" w:h="15840"/>
          <w:pgMar w:top="1417" w:right="1417" w:bottom="1134" w:left="1417" w:header="708" w:footer="708" w:gutter="0"/>
          <w:cols w:space="708"/>
          <w:docGrid w:linePitch="360"/>
        </w:sectPr>
      </w:pPr>
    </w:p>
    <w:p w:rsidR="0098453E" w:rsidRPr="008D520F" w:rsidRDefault="008D520F">
      <w:pPr>
        <w:rPr>
          <w:sz w:val="20"/>
          <w:lang w:val="en-GB"/>
        </w:rPr>
      </w:pPr>
      <w:bookmarkStart w:id="1" w:name="_Toc522713485"/>
      <w:r w:rsidRPr="008D520F">
        <w:rPr>
          <w:sz w:val="20"/>
          <w:lang w:val="en-GB"/>
        </w:rPr>
        <w:lastRenderedPageBreak/>
        <w:t xml:space="preserve">Table </w:t>
      </w:r>
      <w:r w:rsidR="00EC3C15">
        <w:rPr>
          <w:sz w:val="20"/>
          <w:lang w:val="en-GB"/>
        </w:rPr>
        <w:t>S</w:t>
      </w:r>
      <w:r w:rsidR="0092710A">
        <w:rPr>
          <w:sz w:val="20"/>
          <w:lang w:val="en-GB"/>
        </w:rPr>
        <w:t>1</w:t>
      </w:r>
      <w:r w:rsidRPr="008D520F">
        <w:rPr>
          <w:sz w:val="20"/>
          <w:lang w:val="en-GB"/>
        </w:rPr>
        <w:t>: Library preparation steps and DNA amounts in urine samples.</w:t>
      </w:r>
    </w:p>
    <w:tbl>
      <w:tblPr>
        <w:tblW w:w="13382" w:type="dxa"/>
        <w:tblInd w:w="70" w:type="dxa"/>
        <w:tblCellMar>
          <w:left w:w="70" w:type="dxa"/>
          <w:right w:w="70" w:type="dxa"/>
        </w:tblCellMar>
        <w:tblLook w:val="04A0" w:firstRow="1" w:lastRow="0" w:firstColumn="1" w:lastColumn="0" w:noHBand="0" w:noVBand="1"/>
      </w:tblPr>
      <w:tblGrid>
        <w:gridCol w:w="1160"/>
        <w:gridCol w:w="1148"/>
        <w:gridCol w:w="1718"/>
        <w:gridCol w:w="851"/>
        <w:gridCol w:w="1559"/>
        <w:gridCol w:w="1843"/>
        <w:gridCol w:w="1275"/>
        <w:gridCol w:w="2268"/>
        <w:gridCol w:w="1560"/>
      </w:tblGrid>
      <w:tr w:rsidR="00AD581D" w:rsidRPr="008D520F" w:rsidTr="0020661B">
        <w:trPr>
          <w:trHeight w:val="315"/>
        </w:trPr>
        <w:tc>
          <w:tcPr>
            <w:tcW w:w="1160" w:type="dxa"/>
            <w:tcBorders>
              <w:top w:val="single" w:sz="12" w:space="0" w:color="auto"/>
              <w:left w:val="single" w:sz="12" w:space="0" w:color="auto"/>
              <w:bottom w:val="single" w:sz="12"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pacing w:val="300"/>
                <w:sz w:val="20"/>
                <w:szCs w:val="20"/>
                <w:lang w:val="en-GB" w:eastAsia="de-DE"/>
              </w:rPr>
            </w:pPr>
            <w:r w:rsidRPr="008D520F">
              <w:rPr>
                <w:rFonts w:ascii="Calibri" w:eastAsia="Times New Roman" w:hAnsi="Calibri" w:cs="Times New Roman"/>
                <w:color w:val="000000"/>
                <w:sz w:val="20"/>
                <w:szCs w:val="20"/>
                <w:lang w:val="en-GB" w:eastAsia="de-DE"/>
              </w:rPr>
              <w:t>Tissue</w:t>
            </w:r>
          </w:p>
        </w:tc>
        <w:tc>
          <w:tcPr>
            <w:tcW w:w="1148" w:type="dxa"/>
            <w:tcBorders>
              <w:top w:val="single" w:sz="12"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Sample ID</w:t>
            </w:r>
          </w:p>
        </w:tc>
        <w:tc>
          <w:tcPr>
            <w:tcW w:w="1718" w:type="dxa"/>
            <w:tcBorders>
              <w:top w:val="single" w:sz="12"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DNA concentration after extraction (ng/µl)</w:t>
            </w:r>
          </w:p>
        </w:tc>
        <w:tc>
          <w:tcPr>
            <w:tcW w:w="851" w:type="dxa"/>
            <w:tcBorders>
              <w:top w:val="single" w:sz="12" w:space="0" w:color="auto"/>
              <w:left w:val="nil"/>
              <w:bottom w:val="single" w:sz="12"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Volume (µl)</w:t>
            </w:r>
          </w:p>
        </w:tc>
        <w:tc>
          <w:tcPr>
            <w:tcW w:w="155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color w:val="000000"/>
                <w:sz w:val="20"/>
                <w:szCs w:val="20"/>
                <w:lang w:val="en-GB" w:eastAsia="de-DE"/>
              </w:rPr>
              <w:t>Total DNA pre-conversion (ng)</w:t>
            </w:r>
          </w:p>
        </w:tc>
        <w:tc>
          <w:tcPr>
            <w:tcW w:w="1843" w:type="dxa"/>
            <w:tcBorders>
              <w:top w:val="single" w:sz="12" w:space="0" w:color="auto"/>
              <w:left w:val="nil"/>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Conversion kit</w:t>
            </w:r>
          </w:p>
        </w:tc>
        <w:tc>
          <w:tcPr>
            <w:tcW w:w="1275" w:type="dxa"/>
            <w:tcBorders>
              <w:top w:val="single" w:sz="12"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PCR cycles</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Library concentration (ng/µl)</w:t>
            </w:r>
          </w:p>
        </w:tc>
        <w:tc>
          <w:tcPr>
            <w:tcW w:w="1560" w:type="dxa"/>
            <w:tcBorders>
              <w:top w:val="single" w:sz="12" w:space="0" w:color="auto"/>
              <w:left w:val="single" w:sz="4" w:space="0" w:color="auto"/>
              <w:bottom w:val="single" w:sz="12" w:space="0" w:color="auto"/>
              <w:right w:val="single" w:sz="12"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Total DNA (ng)</w:t>
            </w:r>
          </w:p>
        </w:tc>
      </w:tr>
      <w:tr w:rsidR="00AD581D" w:rsidRPr="008D520F" w:rsidTr="0020661B">
        <w:trPr>
          <w:trHeight w:val="228"/>
        </w:trPr>
        <w:tc>
          <w:tcPr>
            <w:tcW w:w="1160" w:type="dxa"/>
            <w:vMerge w:val="restart"/>
            <w:tcBorders>
              <w:top w:val="single" w:sz="12" w:space="0" w:color="auto"/>
              <w:left w:val="single" w:sz="12" w:space="0" w:color="auto"/>
              <w:right w:val="single" w:sz="8" w:space="0" w:color="auto"/>
            </w:tcBorders>
            <w:shd w:val="clear" w:color="auto" w:fill="auto"/>
            <w:noWrap/>
            <w:textDirection w:val="btLr"/>
            <w:vAlign w:val="center"/>
          </w:tcPr>
          <w:p w:rsidR="00AD581D" w:rsidRPr="008D520F" w:rsidRDefault="00AD581D" w:rsidP="00AD581D">
            <w:pPr>
              <w:spacing w:after="0" w:line="240" w:lineRule="auto"/>
              <w:ind w:left="113" w:right="113"/>
              <w:jc w:val="center"/>
              <w:rPr>
                <w:rFonts w:ascii="Calibri" w:eastAsia="Times New Roman" w:hAnsi="Calibri" w:cs="Times New Roman"/>
                <w:b/>
                <w:bCs/>
                <w:color w:val="000000"/>
                <w:spacing w:val="300"/>
                <w:sz w:val="32"/>
                <w:szCs w:val="32"/>
                <w:lang w:val="en-GB" w:eastAsia="de-DE"/>
              </w:rPr>
            </w:pPr>
            <w:r w:rsidRPr="008D520F">
              <w:rPr>
                <w:rFonts w:ascii="Calibri" w:eastAsia="Times New Roman" w:hAnsi="Calibri" w:cs="Times New Roman"/>
                <w:b/>
                <w:bCs/>
                <w:color w:val="000000"/>
                <w:spacing w:val="300"/>
                <w:sz w:val="32"/>
                <w:szCs w:val="32"/>
                <w:lang w:val="en-GB" w:eastAsia="de-DE"/>
              </w:rPr>
              <w:t>Urine</w:t>
            </w: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K16_U1</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1.28</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51.2</w:t>
            </w:r>
          </w:p>
        </w:tc>
        <w:tc>
          <w:tcPr>
            <w:tcW w:w="1843" w:type="dxa"/>
            <w:tcBorders>
              <w:top w:val="single" w:sz="12"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4.19</w:t>
            </w:r>
          </w:p>
        </w:tc>
        <w:tc>
          <w:tcPr>
            <w:tcW w:w="1560" w:type="dxa"/>
            <w:tcBorders>
              <w:top w:val="single" w:sz="12"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line="240" w:lineRule="auto"/>
              <w:jc w:val="center"/>
              <w:rPr>
                <w:rFonts w:ascii="Calibri" w:hAnsi="Calibri"/>
                <w:color w:val="000000"/>
                <w:sz w:val="20"/>
                <w:szCs w:val="20"/>
                <w:lang w:val="en-GB"/>
              </w:rPr>
            </w:pPr>
            <w:r w:rsidRPr="008D520F">
              <w:rPr>
                <w:rFonts w:ascii="Calibri" w:hAnsi="Calibri"/>
                <w:color w:val="000000"/>
                <w:sz w:val="20"/>
                <w:szCs w:val="20"/>
                <w:lang w:val="en-GB"/>
              </w:rPr>
              <w:t>83.8</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K16_U2</w:t>
            </w:r>
          </w:p>
        </w:tc>
        <w:tc>
          <w:tcPr>
            <w:tcW w:w="171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1.34</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53.6</w:t>
            </w:r>
          </w:p>
        </w:tc>
        <w:tc>
          <w:tcPr>
            <w:tcW w:w="1843" w:type="dxa"/>
            <w:tcBorders>
              <w:top w:val="single" w:sz="8"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2.54</w:t>
            </w:r>
          </w:p>
        </w:tc>
        <w:tc>
          <w:tcPr>
            <w:tcW w:w="1560" w:type="dxa"/>
            <w:tcBorders>
              <w:top w:val="single" w:sz="8"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50.8</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K16_U3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1.41</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56.4</w:t>
            </w:r>
          </w:p>
        </w:tc>
        <w:tc>
          <w:tcPr>
            <w:tcW w:w="1843" w:type="dxa"/>
            <w:tcBorders>
              <w:top w:val="single" w:sz="8" w:space="0" w:color="auto"/>
              <w:left w:val="nil"/>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6.34</w:t>
            </w:r>
          </w:p>
        </w:tc>
        <w:tc>
          <w:tcPr>
            <w:tcW w:w="1560" w:type="dxa"/>
            <w:tcBorders>
              <w:top w:val="single" w:sz="8" w:space="0" w:color="auto"/>
              <w:left w:val="single" w:sz="4" w:space="0" w:color="auto"/>
              <w:bottom w:val="single" w:sz="12"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126.8</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K17_U1</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3.28</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131.2</w:t>
            </w:r>
          </w:p>
        </w:tc>
        <w:tc>
          <w:tcPr>
            <w:tcW w:w="1843" w:type="dxa"/>
            <w:tcBorders>
              <w:top w:val="single" w:sz="12"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5</w:t>
            </w:r>
          </w:p>
        </w:tc>
        <w:tc>
          <w:tcPr>
            <w:tcW w:w="226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10.7</w:t>
            </w:r>
          </w:p>
        </w:tc>
        <w:tc>
          <w:tcPr>
            <w:tcW w:w="1560" w:type="dxa"/>
            <w:tcBorders>
              <w:top w:val="single" w:sz="12"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214</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K17_U2</w:t>
            </w:r>
          </w:p>
        </w:tc>
        <w:tc>
          <w:tcPr>
            <w:tcW w:w="171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1.28</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51.2</w:t>
            </w:r>
          </w:p>
        </w:tc>
        <w:tc>
          <w:tcPr>
            <w:tcW w:w="1843" w:type="dxa"/>
            <w:tcBorders>
              <w:top w:val="single" w:sz="8"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4.91</w:t>
            </w:r>
          </w:p>
        </w:tc>
        <w:tc>
          <w:tcPr>
            <w:tcW w:w="1560" w:type="dxa"/>
            <w:tcBorders>
              <w:top w:val="single" w:sz="8"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98.2</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K17_U3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2.38</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95.2</w:t>
            </w:r>
          </w:p>
        </w:tc>
        <w:tc>
          <w:tcPr>
            <w:tcW w:w="1843" w:type="dxa"/>
            <w:tcBorders>
              <w:top w:val="single" w:sz="8" w:space="0" w:color="auto"/>
              <w:left w:val="nil"/>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5</w:t>
            </w:r>
          </w:p>
        </w:tc>
        <w:tc>
          <w:tcPr>
            <w:tcW w:w="226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4.48</w:t>
            </w:r>
          </w:p>
        </w:tc>
        <w:tc>
          <w:tcPr>
            <w:tcW w:w="1560" w:type="dxa"/>
            <w:tcBorders>
              <w:top w:val="single" w:sz="8" w:space="0" w:color="auto"/>
              <w:left w:val="single" w:sz="4" w:space="0" w:color="auto"/>
              <w:bottom w:val="single" w:sz="12"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89.6</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12"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K18_U1</w:t>
            </w:r>
          </w:p>
        </w:tc>
        <w:tc>
          <w:tcPr>
            <w:tcW w:w="1718" w:type="dxa"/>
            <w:tcBorders>
              <w:top w:val="single" w:sz="12"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6.78</w:t>
            </w:r>
          </w:p>
        </w:tc>
        <w:tc>
          <w:tcPr>
            <w:tcW w:w="851" w:type="dxa"/>
            <w:tcBorders>
              <w:top w:val="single" w:sz="12" w:space="0" w:color="auto"/>
              <w:left w:val="nil"/>
              <w:bottom w:val="single" w:sz="12"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271.2</w:t>
            </w:r>
          </w:p>
        </w:tc>
        <w:tc>
          <w:tcPr>
            <w:tcW w:w="1843" w:type="dxa"/>
            <w:tcBorders>
              <w:top w:val="single" w:sz="12" w:space="0" w:color="auto"/>
              <w:left w:val="nil"/>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4</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1.53</w:t>
            </w:r>
          </w:p>
        </w:tc>
        <w:tc>
          <w:tcPr>
            <w:tcW w:w="1560" w:type="dxa"/>
            <w:tcBorders>
              <w:top w:val="single" w:sz="12" w:space="0" w:color="auto"/>
              <w:left w:val="single" w:sz="4" w:space="0" w:color="auto"/>
              <w:bottom w:val="single" w:sz="12"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30.6</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P25_U1</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7.34</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293.6</w:t>
            </w:r>
          </w:p>
        </w:tc>
        <w:tc>
          <w:tcPr>
            <w:tcW w:w="1843" w:type="dxa"/>
            <w:tcBorders>
              <w:top w:val="single" w:sz="12"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4</w:t>
            </w:r>
          </w:p>
        </w:tc>
        <w:tc>
          <w:tcPr>
            <w:tcW w:w="226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7.34</w:t>
            </w:r>
          </w:p>
        </w:tc>
        <w:tc>
          <w:tcPr>
            <w:tcW w:w="1560" w:type="dxa"/>
            <w:tcBorders>
              <w:top w:val="single" w:sz="12"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146.8</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P25_U2</w:t>
            </w:r>
          </w:p>
        </w:tc>
        <w:tc>
          <w:tcPr>
            <w:tcW w:w="171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7.58</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303.2</w:t>
            </w:r>
          </w:p>
        </w:tc>
        <w:tc>
          <w:tcPr>
            <w:tcW w:w="1843" w:type="dxa"/>
            <w:tcBorders>
              <w:top w:val="single" w:sz="8"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4</w:t>
            </w:r>
          </w:p>
        </w:tc>
        <w:tc>
          <w:tcPr>
            <w:tcW w:w="226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7.58</w:t>
            </w:r>
          </w:p>
        </w:tc>
        <w:tc>
          <w:tcPr>
            <w:tcW w:w="1560" w:type="dxa"/>
            <w:tcBorders>
              <w:top w:val="single" w:sz="8"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151.6</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P25_U3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7.4</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296</w:t>
            </w:r>
          </w:p>
        </w:tc>
        <w:tc>
          <w:tcPr>
            <w:tcW w:w="1843" w:type="dxa"/>
            <w:tcBorders>
              <w:top w:val="single" w:sz="8" w:space="0" w:color="auto"/>
              <w:left w:val="nil"/>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4</w:t>
            </w:r>
          </w:p>
        </w:tc>
        <w:tc>
          <w:tcPr>
            <w:tcW w:w="226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8.4</w:t>
            </w:r>
          </w:p>
        </w:tc>
        <w:tc>
          <w:tcPr>
            <w:tcW w:w="1560" w:type="dxa"/>
            <w:tcBorders>
              <w:top w:val="single" w:sz="8" w:space="0" w:color="auto"/>
              <w:left w:val="single" w:sz="4" w:space="0" w:color="auto"/>
              <w:bottom w:val="single" w:sz="12"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168</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P27_U1</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1.39</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55.6</w:t>
            </w:r>
          </w:p>
        </w:tc>
        <w:tc>
          <w:tcPr>
            <w:tcW w:w="1843" w:type="dxa"/>
            <w:tcBorders>
              <w:top w:val="single" w:sz="12"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3.29</w:t>
            </w:r>
          </w:p>
        </w:tc>
        <w:tc>
          <w:tcPr>
            <w:tcW w:w="1560" w:type="dxa"/>
            <w:tcBorders>
              <w:top w:val="single" w:sz="12"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65.8</w:t>
            </w:r>
          </w:p>
        </w:tc>
      </w:tr>
      <w:tr w:rsidR="00AD581D" w:rsidRPr="008D520F" w:rsidTr="0020661B">
        <w:trPr>
          <w:trHeight w:val="177"/>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P27_U2</w:t>
            </w:r>
          </w:p>
        </w:tc>
        <w:tc>
          <w:tcPr>
            <w:tcW w:w="171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1.33</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53.2</w:t>
            </w:r>
          </w:p>
        </w:tc>
        <w:tc>
          <w:tcPr>
            <w:tcW w:w="1843" w:type="dxa"/>
            <w:tcBorders>
              <w:top w:val="single" w:sz="8"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3.34</w:t>
            </w:r>
          </w:p>
        </w:tc>
        <w:tc>
          <w:tcPr>
            <w:tcW w:w="1560" w:type="dxa"/>
            <w:tcBorders>
              <w:top w:val="single" w:sz="8"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66.8</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P27_U3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1.41</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56.4</w:t>
            </w:r>
          </w:p>
        </w:tc>
        <w:tc>
          <w:tcPr>
            <w:tcW w:w="1843" w:type="dxa"/>
            <w:tcBorders>
              <w:top w:val="single" w:sz="8" w:space="0" w:color="auto"/>
              <w:left w:val="nil"/>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3.08</w:t>
            </w:r>
          </w:p>
        </w:tc>
        <w:tc>
          <w:tcPr>
            <w:tcW w:w="1560" w:type="dxa"/>
            <w:tcBorders>
              <w:top w:val="single" w:sz="8" w:space="0" w:color="auto"/>
              <w:left w:val="single" w:sz="4" w:space="0" w:color="auto"/>
              <w:bottom w:val="single" w:sz="12"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61.6</w:t>
            </w:r>
          </w:p>
        </w:tc>
      </w:tr>
      <w:tr w:rsidR="00AD581D" w:rsidRPr="008D520F" w:rsidTr="0020661B">
        <w:trPr>
          <w:trHeight w:hRule="exact" w:val="315"/>
        </w:trPr>
        <w:tc>
          <w:tcPr>
            <w:tcW w:w="1160" w:type="dxa"/>
            <w:vMerge/>
            <w:tcBorders>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P29_U1</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1.06</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42.4</w:t>
            </w:r>
          </w:p>
        </w:tc>
        <w:tc>
          <w:tcPr>
            <w:tcW w:w="1843" w:type="dxa"/>
            <w:tcBorders>
              <w:top w:val="single" w:sz="12"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12"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1.29</w:t>
            </w:r>
          </w:p>
        </w:tc>
        <w:tc>
          <w:tcPr>
            <w:tcW w:w="1560" w:type="dxa"/>
            <w:tcBorders>
              <w:top w:val="single" w:sz="12"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25.8</w:t>
            </w:r>
          </w:p>
        </w:tc>
      </w:tr>
      <w:tr w:rsidR="00AD581D" w:rsidRPr="008D520F" w:rsidTr="0020661B">
        <w:trPr>
          <w:trHeight w:hRule="exact" w:val="315"/>
        </w:trPr>
        <w:tc>
          <w:tcPr>
            <w:tcW w:w="1160" w:type="dxa"/>
            <w:vMerge/>
            <w:tcBorders>
              <w:top w:val="single" w:sz="4" w:space="0" w:color="auto"/>
              <w:left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P29_U2</w:t>
            </w:r>
          </w:p>
        </w:tc>
        <w:tc>
          <w:tcPr>
            <w:tcW w:w="171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1.07</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42.8</w:t>
            </w:r>
          </w:p>
        </w:tc>
        <w:tc>
          <w:tcPr>
            <w:tcW w:w="1843" w:type="dxa"/>
            <w:tcBorders>
              <w:top w:val="single" w:sz="8" w:space="0" w:color="auto"/>
              <w:left w:val="nil"/>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single" w:sz="4" w:space="0" w:color="auto"/>
              <w:bottom w:val="single" w:sz="8"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1.14</w:t>
            </w:r>
          </w:p>
        </w:tc>
        <w:tc>
          <w:tcPr>
            <w:tcW w:w="1560" w:type="dxa"/>
            <w:tcBorders>
              <w:top w:val="single" w:sz="8" w:space="0" w:color="auto"/>
              <w:left w:val="single" w:sz="4" w:space="0" w:color="auto"/>
              <w:bottom w:val="single" w:sz="8"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22.8</w:t>
            </w:r>
          </w:p>
        </w:tc>
      </w:tr>
      <w:tr w:rsidR="00AD581D" w:rsidRPr="008D520F" w:rsidTr="0020661B">
        <w:trPr>
          <w:trHeight w:hRule="exact" w:val="315"/>
        </w:trPr>
        <w:tc>
          <w:tcPr>
            <w:tcW w:w="1160" w:type="dxa"/>
            <w:vMerge/>
            <w:tcBorders>
              <w:top w:val="single" w:sz="4" w:space="0" w:color="auto"/>
              <w:left w:val="single" w:sz="12" w:space="0" w:color="auto"/>
              <w:bottom w:val="single" w:sz="12" w:space="0" w:color="auto"/>
              <w:right w:val="single" w:sz="8" w:space="0" w:color="auto"/>
            </w:tcBorders>
            <w:shd w:val="clear" w:color="auto" w:fill="auto"/>
            <w:noWrap/>
            <w:vAlign w:val="center"/>
          </w:tcPr>
          <w:p w:rsidR="00AD581D" w:rsidRPr="008D520F" w:rsidRDefault="00AD581D" w:rsidP="00AD581D">
            <w:pPr>
              <w:spacing w:after="0" w:line="240" w:lineRule="auto"/>
              <w:rPr>
                <w:rFonts w:ascii="Calibri" w:eastAsia="Times New Roman" w:hAnsi="Calibri" w:cs="Times New Roman"/>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P29_U3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1.14</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AD581D" w:rsidRPr="008D520F" w:rsidRDefault="00AD581D" w:rsidP="00AD581D">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45.6</w:t>
            </w:r>
          </w:p>
        </w:tc>
        <w:tc>
          <w:tcPr>
            <w:tcW w:w="1843" w:type="dxa"/>
            <w:tcBorders>
              <w:top w:val="single" w:sz="8" w:space="0" w:color="auto"/>
              <w:left w:val="nil"/>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single" w:sz="4" w:space="0" w:color="auto"/>
              <w:bottom w:val="single" w:sz="12" w:space="0" w:color="auto"/>
              <w:right w:val="single" w:sz="4" w:space="0" w:color="auto"/>
            </w:tcBorders>
            <w:shd w:val="clear" w:color="auto" w:fill="auto"/>
            <w:vAlign w:val="center"/>
          </w:tcPr>
          <w:p w:rsidR="00AD581D" w:rsidRPr="008D520F" w:rsidRDefault="00AD581D" w:rsidP="00AD581D">
            <w:pPr>
              <w:spacing w:after="0"/>
              <w:jc w:val="center"/>
              <w:rPr>
                <w:sz w:val="20"/>
                <w:szCs w:val="20"/>
                <w:lang w:val="en-GB"/>
              </w:rPr>
            </w:pPr>
            <w:r w:rsidRPr="008D520F">
              <w:rPr>
                <w:sz w:val="20"/>
                <w:szCs w:val="20"/>
                <w:lang w:val="en-GB"/>
              </w:rPr>
              <w:t>1.3</w:t>
            </w:r>
          </w:p>
        </w:tc>
        <w:tc>
          <w:tcPr>
            <w:tcW w:w="1560" w:type="dxa"/>
            <w:tcBorders>
              <w:top w:val="single" w:sz="8" w:space="0" w:color="auto"/>
              <w:left w:val="single" w:sz="4" w:space="0" w:color="auto"/>
              <w:bottom w:val="single" w:sz="12" w:space="0" w:color="auto"/>
              <w:right w:val="single" w:sz="12" w:space="0" w:color="auto"/>
            </w:tcBorders>
            <w:shd w:val="clear" w:color="auto" w:fill="auto"/>
            <w:noWrap/>
            <w:vAlign w:val="center"/>
          </w:tcPr>
          <w:p w:rsidR="00AD581D" w:rsidRPr="008D520F" w:rsidRDefault="00AD581D" w:rsidP="00AD581D">
            <w:pPr>
              <w:spacing w:after="0"/>
              <w:jc w:val="center"/>
              <w:rPr>
                <w:rFonts w:ascii="Calibri" w:hAnsi="Calibri"/>
                <w:color w:val="000000"/>
                <w:sz w:val="20"/>
                <w:szCs w:val="20"/>
                <w:lang w:val="en-GB"/>
              </w:rPr>
            </w:pPr>
            <w:r w:rsidRPr="008D520F">
              <w:rPr>
                <w:rFonts w:ascii="Calibri" w:hAnsi="Calibri"/>
                <w:color w:val="000000"/>
                <w:sz w:val="20"/>
                <w:szCs w:val="20"/>
                <w:lang w:val="en-GB"/>
              </w:rPr>
              <w:t>26</w:t>
            </w:r>
          </w:p>
        </w:tc>
      </w:tr>
    </w:tbl>
    <w:p w:rsidR="00641571" w:rsidRPr="008D520F" w:rsidRDefault="00641571">
      <w:pPr>
        <w:rPr>
          <w:lang w:val="en-GB"/>
        </w:rPr>
      </w:pPr>
    </w:p>
    <w:p w:rsidR="00641571" w:rsidRPr="008D520F" w:rsidRDefault="00641571">
      <w:pPr>
        <w:spacing w:after="160" w:line="259" w:lineRule="auto"/>
        <w:rPr>
          <w:lang w:val="en-GB"/>
        </w:rPr>
      </w:pPr>
      <w:r w:rsidRPr="008D520F">
        <w:rPr>
          <w:lang w:val="en-GB"/>
        </w:rPr>
        <w:br w:type="page"/>
      </w:r>
    </w:p>
    <w:p w:rsidR="00641571" w:rsidRPr="008D520F" w:rsidRDefault="008D520F">
      <w:pPr>
        <w:rPr>
          <w:sz w:val="20"/>
          <w:lang w:val="en-GB"/>
        </w:rPr>
      </w:pPr>
      <w:r w:rsidRPr="008D520F">
        <w:rPr>
          <w:sz w:val="20"/>
          <w:lang w:val="en-GB"/>
        </w:rPr>
        <w:lastRenderedPageBreak/>
        <w:t xml:space="preserve">Table </w:t>
      </w:r>
      <w:r w:rsidR="00EC3C15">
        <w:rPr>
          <w:sz w:val="20"/>
          <w:lang w:val="en-GB"/>
        </w:rPr>
        <w:t>S</w:t>
      </w:r>
      <w:r w:rsidR="0092710A">
        <w:rPr>
          <w:sz w:val="20"/>
          <w:lang w:val="en-GB"/>
        </w:rPr>
        <w:t>2</w:t>
      </w:r>
      <w:r w:rsidRPr="008D520F">
        <w:rPr>
          <w:sz w:val="20"/>
          <w:lang w:val="en-GB"/>
        </w:rPr>
        <w:t xml:space="preserve">: Library preparation steps and DNA amounts in blood samples, </w:t>
      </w:r>
      <w:r w:rsidR="00875005">
        <w:rPr>
          <w:sz w:val="20"/>
          <w:lang w:val="en-GB"/>
        </w:rPr>
        <w:t>discovery cohort</w:t>
      </w:r>
      <w:r w:rsidRPr="008D520F">
        <w:rPr>
          <w:sz w:val="20"/>
          <w:lang w:val="en-GB"/>
        </w:rPr>
        <w:t>.</w:t>
      </w:r>
    </w:p>
    <w:tbl>
      <w:tblPr>
        <w:tblW w:w="13382" w:type="dxa"/>
        <w:tblInd w:w="70" w:type="dxa"/>
        <w:tblCellMar>
          <w:left w:w="70" w:type="dxa"/>
          <w:right w:w="70" w:type="dxa"/>
        </w:tblCellMar>
        <w:tblLook w:val="04A0" w:firstRow="1" w:lastRow="0" w:firstColumn="1" w:lastColumn="0" w:noHBand="0" w:noVBand="1"/>
      </w:tblPr>
      <w:tblGrid>
        <w:gridCol w:w="1160"/>
        <w:gridCol w:w="1148"/>
        <w:gridCol w:w="1718"/>
        <w:gridCol w:w="851"/>
        <w:gridCol w:w="1559"/>
        <w:gridCol w:w="1843"/>
        <w:gridCol w:w="1275"/>
        <w:gridCol w:w="2268"/>
        <w:gridCol w:w="1560"/>
      </w:tblGrid>
      <w:tr w:rsidR="0020661B" w:rsidRPr="008D520F" w:rsidTr="003277FB">
        <w:trPr>
          <w:trHeight w:val="315"/>
        </w:trPr>
        <w:tc>
          <w:tcPr>
            <w:tcW w:w="1160" w:type="dxa"/>
            <w:tcBorders>
              <w:top w:val="single" w:sz="12" w:space="0" w:color="auto"/>
              <w:left w:val="single" w:sz="12" w:space="0" w:color="auto"/>
              <w:right w:val="single" w:sz="8" w:space="0" w:color="auto"/>
            </w:tcBorders>
            <w:shd w:val="clear" w:color="auto" w:fill="auto"/>
            <w:noWrap/>
            <w:vAlign w:val="center"/>
          </w:tcPr>
          <w:p w:rsidR="0020661B" w:rsidRPr="008D520F" w:rsidRDefault="0020661B" w:rsidP="0020661B">
            <w:pPr>
              <w:spacing w:after="0" w:line="240" w:lineRule="auto"/>
              <w:jc w:val="center"/>
              <w:rPr>
                <w:rFonts w:ascii="Calibri" w:eastAsia="Times New Roman" w:hAnsi="Calibri" w:cs="Times New Roman"/>
                <w:bCs/>
                <w:color w:val="000000"/>
                <w:spacing w:val="300"/>
                <w:sz w:val="20"/>
                <w:szCs w:val="20"/>
                <w:lang w:val="en-GB" w:eastAsia="de-DE"/>
              </w:rPr>
            </w:pPr>
            <w:r w:rsidRPr="008D520F">
              <w:rPr>
                <w:rFonts w:ascii="Calibri" w:eastAsia="Times New Roman" w:hAnsi="Calibri" w:cs="Times New Roman"/>
                <w:color w:val="000000"/>
                <w:sz w:val="20"/>
                <w:szCs w:val="20"/>
                <w:lang w:val="en-GB" w:eastAsia="de-DE"/>
              </w:rPr>
              <w:t>Tissue</w:t>
            </w: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20661B" w:rsidRPr="008D520F" w:rsidRDefault="0020661B" w:rsidP="0020661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Sample ID</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20661B" w:rsidRPr="008D520F" w:rsidRDefault="0020661B" w:rsidP="0020661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DNA concentration after extraction (ng/µl)</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20661B" w:rsidRPr="008D520F" w:rsidRDefault="0020661B" w:rsidP="0020661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Volume (µl)</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20661B" w:rsidRPr="008D520F" w:rsidRDefault="0020661B" w:rsidP="0020661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color w:val="000000"/>
                <w:sz w:val="20"/>
                <w:szCs w:val="20"/>
                <w:lang w:val="en-GB" w:eastAsia="de-DE"/>
              </w:rPr>
              <w:t>Total DNA pre-conversion (ng)</w:t>
            </w:r>
          </w:p>
        </w:tc>
        <w:tc>
          <w:tcPr>
            <w:tcW w:w="1843" w:type="dxa"/>
            <w:tcBorders>
              <w:top w:val="single" w:sz="12" w:space="0" w:color="auto"/>
              <w:left w:val="nil"/>
              <w:bottom w:val="single" w:sz="8" w:space="0" w:color="auto"/>
              <w:right w:val="nil"/>
            </w:tcBorders>
            <w:shd w:val="clear" w:color="auto" w:fill="auto"/>
            <w:vAlign w:val="center"/>
          </w:tcPr>
          <w:p w:rsidR="0020661B" w:rsidRPr="008D520F" w:rsidRDefault="0020661B" w:rsidP="0020661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Conversion kit</w:t>
            </w:r>
          </w:p>
        </w:tc>
        <w:tc>
          <w:tcPr>
            <w:tcW w:w="1275" w:type="dxa"/>
            <w:tcBorders>
              <w:top w:val="single" w:sz="12" w:space="0" w:color="auto"/>
              <w:left w:val="nil"/>
              <w:bottom w:val="single" w:sz="8" w:space="0" w:color="auto"/>
              <w:right w:val="nil"/>
            </w:tcBorders>
            <w:shd w:val="clear" w:color="auto" w:fill="auto"/>
            <w:vAlign w:val="center"/>
          </w:tcPr>
          <w:p w:rsidR="0020661B" w:rsidRPr="008D520F" w:rsidRDefault="0020661B" w:rsidP="0020661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PCR cycles</w:t>
            </w:r>
          </w:p>
        </w:tc>
        <w:tc>
          <w:tcPr>
            <w:tcW w:w="2268" w:type="dxa"/>
            <w:tcBorders>
              <w:top w:val="single" w:sz="12" w:space="0" w:color="auto"/>
              <w:left w:val="nil"/>
              <w:bottom w:val="single" w:sz="8" w:space="0" w:color="auto"/>
              <w:right w:val="nil"/>
            </w:tcBorders>
            <w:shd w:val="clear" w:color="auto" w:fill="auto"/>
            <w:vAlign w:val="center"/>
          </w:tcPr>
          <w:p w:rsidR="0020661B" w:rsidRPr="008D520F" w:rsidRDefault="0020661B" w:rsidP="0020661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Library concentration (ng/µl)</w:t>
            </w:r>
          </w:p>
        </w:tc>
        <w:tc>
          <w:tcPr>
            <w:tcW w:w="1560" w:type="dxa"/>
            <w:tcBorders>
              <w:top w:val="single" w:sz="12" w:space="0" w:color="auto"/>
              <w:left w:val="nil"/>
              <w:bottom w:val="single" w:sz="8" w:space="0" w:color="auto"/>
              <w:right w:val="single" w:sz="12" w:space="0" w:color="auto"/>
            </w:tcBorders>
            <w:shd w:val="clear" w:color="auto" w:fill="auto"/>
            <w:noWrap/>
            <w:vAlign w:val="center"/>
          </w:tcPr>
          <w:p w:rsidR="0020661B" w:rsidRPr="008D520F" w:rsidRDefault="0020661B" w:rsidP="0020661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Total DNA (ng)</w:t>
            </w:r>
          </w:p>
        </w:tc>
      </w:tr>
      <w:tr w:rsidR="00071DDA" w:rsidRPr="008D520F" w:rsidTr="003277FB">
        <w:trPr>
          <w:trHeight w:val="315"/>
        </w:trPr>
        <w:tc>
          <w:tcPr>
            <w:tcW w:w="1160" w:type="dxa"/>
            <w:vMerge w:val="restart"/>
            <w:tcBorders>
              <w:top w:val="single" w:sz="12" w:space="0" w:color="auto"/>
              <w:left w:val="single" w:sz="12" w:space="0" w:color="auto"/>
              <w:right w:val="single" w:sz="8" w:space="0" w:color="auto"/>
            </w:tcBorders>
            <w:shd w:val="clear" w:color="auto" w:fill="auto"/>
            <w:noWrap/>
            <w:textDirection w:val="btLr"/>
            <w:vAlign w:val="center"/>
          </w:tcPr>
          <w:p w:rsidR="00071DDA" w:rsidRPr="008D520F" w:rsidRDefault="00071DDA" w:rsidP="00071DDA">
            <w:pPr>
              <w:spacing w:after="0" w:line="240" w:lineRule="auto"/>
              <w:ind w:left="113" w:right="113"/>
              <w:jc w:val="center"/>
              <w:rPr>
                <w:rFonts w:ascii="Calibri" w:eastAsia="Times New Roman" w:hAnsi="Calibri" w:cs="Times New Roman"/>
                <w:b/>
                <w:bCs/>
                <w:color w:val="000000"/>
                <w:spacing w:val="300"/>
                <w:sz w:val="32"/>
                <w:szCs w:val="32"/>
                <w:lang w:val="en-GB" w:eastAsia="de-DE"/>
              </w:rPr>
            </w:pPr>
            <w:r w:rsidRPr="008D520F">
              <w:rPr>
                <w:rFonts w:ascii="Calibri" w:eastAsia="Times New Roman" w:hAnsi="Calibri" w:cs="Times New Roman"/>
                <w:b/>
                <w:bCs/>
                <w:color w:val="000000"/>
                <w:spacing w:val="300"/>
                <w:sz w:val="32"/>
                <w:szCs w:val="32"/>
                <w:lang w:val="en-GB" w:eastAsia="de-DE"/>
              </w:rPr>
              <w:t>Blood</w:t>
            </w: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K16_B</w:t>
            </w:r>
            <w:r w:rsidR="00071DDA" w:rsidRPr="008D520F">
              <w:rPr>
                <w:rFonts w:ascii="Calibri" w:eastAsia="Times New Roman" w:hAnsi="Calibri" w:cs="Times New Roman"/>
                <w:bCs/>
                <w:color w:val="000000"/>
                <w:sz w:val="20"/>
                <w:szCs w:val="20"/>
                <w:lang w:val="en-GB" w:eastAsia="de-DE"/>
              </w:rPr>
              <w:t>1</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0.884</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line="240" w:lineRule="auto"/>
              <w:jc w:val="center"/>
              <w:rPr>
                <w:rFonts w:ascii="Calibri" w:hAnsi="Calibri"/>
                <w:color w:val="000000"/>
                <w:sz w:val="20"/>
                <w:szCs w:val="20"/>
                <w:lang w:val="en-GB"/>
              </w:rPr>
            </w:pPr>
            <w:r w:rsidRPr="008D520F">
              <w:rPr>
                <w:rFonts w:ascii="Calibri" w:hAnsi="Calibri"/>
                <w:color w:val="000000"/>
                <w:sz w:val="20"/>
                <w:szCs w:val="20"/>
                <w:lang w:val="en-GB"/>
              </w:rPr>
              <w:t>35.36</w:t>
            </w:r>
          </w:p>
        </w:tc>
        <w:tc>
          <w:tcPr>
            <w:tcW w:w="1843"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line="240" w:lineRule="auto"/>
              <w:jc w:val="center"/>
              <w:rPr>
                <w:rFonts w:ascii="Calibri" w:hAnsi="Calibri"/>
                <w:color w:val="000000"/>
                <w:sz w:val="20"/>
                <w:szCs w:val="20"/>
                <w:lang w:val="en-GB"/>
              </w:rPr>
            </w:pPr>
            <w:r w:rsidRPr="008D520F">
              <w:rPr>
                <w:rFonts w:ascii="Calibri" w:hAnsi="Calibri"/>
                <w:color w:val="000000"/>
                <w:sz w:val="20"/>
                <w:szCs w:val="20"/>
                <w:lang w:val="en-GB"/>
              </w:rPr>
              <w:t>7</w:t>
            </w:r>
          </w:p>
        </w:tc>
        <w:tc>
          <w:tcPr>
            <w:tcW w:w="2268" w:type="dxa"/>
            <w:tcBorders>
              <w:top w:val="single" w:sz="12" w:space="0" w:color="auto"/>
              <w:left w:val="nil"/>
              <w:bottom w:val="single" w:sz="8" w:space="0" w:color="auto"/>
              <w:right w:val="nil"/>
            </w:tcBorders>
            <w:shd w:val="clear" w:color="auto" w:fill="auto"/>
          </w:tcPr>
          <w:p w:rsidR="00071DDA" w:rsidRPr="00071DDA" w:rsidRDefault="00071DDA" w:rsidP="00071DDA">
            <w:pPr>
              <w:spacing w:after="0"/>
              <w:jc w:val="center"/>
              <w:rPr>
                <w:sz w:val="20"/>
              </w:rPr>
            </w:pPr>
            <w:r w:rsidRPr="00071DDA">
              <w:rPr>
                <w:sz w:val="20"/>
              </w:rPr>
              <w:t>15</w:t>
            </w:r>
            <w:r>
              <w:rPr>
                <w:sz w:val="20"/>
              </w:rPr>
              <w:t>.</w:t>
            </w:r>
            <w:r w:rsidRPr="00071DDA">
              <w:rPr>
                <w:sz w:val="20"/>
              </w:rPr>
              <w:t>1</w:t>
            </w:r>
          </w:p>
        </w:tc>
        <w:tc>
          <w:tcPr>
            <w:tcW w:w="1560" w:type="dxa"/>
            <w:tcBorders>
              <w:top w:val="single" w:sz="12" w:space="0" w:color="auto"/>
              <w:left w:val="nil"/>
              <w:bottom w:val="single" w:sz="8"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302</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K16_B</w:t>
            </w:r>
            <w:r w:rsidR="00071DDA" w:rsidRPr="008D520F">
              <w:rPr>
                <w:rFonts w:ascii="Calibri" w:eastAsia="Times New Roman" w:hAnsi="Calibri" w:cs="Times New Roman"/>
                <w:bCs/>
                <w:color w:val="000000"/>
                <w:sz w:val="20"/>
                <w:szCs w:val="20"/>
                <w:lang w:val="en-GB" w:eastAsia="de-DE"/>
              </w:rPr>
              <w:t>2</w:t>
            </w:r>
          </w:p>
        </w:tc>
        <w:tc>
          <w:tcPr>
            <w:tcW w:w="1718" w:type="dxa"/>
            <w:tcBorders>
              <w:top w:val="single" w:sz="8"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0.928</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37.12</w:t>
            </w:r>
          </w:p>
        </w:tc>
        <w:tc>
          <w:tcPr>
            <w:tcW w:w="1843" w:type="dxa"/>
            <w:tcBorders>
              <w:top w:val="single" w:sz="8" w:space="0" w:color="auto"/>
              <w:left w:val="nil"/>
              <w:bottom w:val="single" w:sz="8"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single" w:sz="8"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7</w:t>
            </w:r>
          </w:p>
        </w:tc>
        <w:tc>
          <w:tcPr>
            <w:tcW w:w="2268" w:type="dxa"/>
            <w:tcBorders>
              <w:top w:val="single" w:sz="8" w:space="0" w:color="auto"/>
              <w:left w:val="nil"/>
              <w:bottom w:val="single" w:sz="8" w:space="0" w:color="auto"/>
              <w:right w:val="nil"/>
            </w:tcBorders>
            <w:shd w:val="clear" w:color="auto" w:fill="auto"/>
          </w:tcPr>
          <w:p w:rsidR="00071DDA" w:rsidRPr="00071DDA" w:rsidRDefault="00071DDA" w:rsidP="00071DDA">
            <w:pPr>
              <w:spacing w:after="0"/>
              <w:jc w:val="center"/>
              <w:rPr>
                <w:sz w:val="20"/>
              </w:rPr>
            </w:pPr>
            <w:r w:rsidRPr="00071DDA">
              <w:rPr>
                <w:sz w:val="20"/>
              </w:rPr>
              <w:t>12</w:t>
            </w:r>
            <w:r>
              <w:rPr>
                <w:sz w:val="20"/>
              </w:rPr>
              <w:t>.</w:t>
            </w:r>
            <w:r w:rsidRPr="00071DDA">
              <w:rPr>
                <w:sz w:val="20"/>
              </w:rPr>
              <w:t>8</w:t>
            </w:r>
          </w:p>
        </w:tc>
        <w:tc>
          <w:tcPr>
            <w:tcW w:w="1560" w:type="dxa"/>
            <w:tcBorders>
              <w:top w:val="single" w:sz="8" w:space="0" w:color="auto"/>
              <w:left w:val="nil"/>
              <w:bottom w:val="single" w:sz="8"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256</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4E77ED" w:rsidP="004E77ED">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K16_B</w:t>
            </w:r>
            <w:r w:rsidR="00071DDA" w:rsidRPr="008D520F">
              <w:rPr>
                <w:rFonts w:ascii="Calibri" w:eastAsia="Times New Roman" w:hAnsi="Calibri" w:cs="Times New Roman"/>
                <w:bCs/>
                <w:color w:val="000000"/>
                <w:sz w:val="20"/>
                <w:szCs w:val="20"/>
                <w:lang w:val="en-GB" w:eastAsia="de-DE"/>
              </w:rPr>
              <w:t>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0.844</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33.76</w:t>
            </w:r>
          </w:p>
        </w:tc>
        <w:tc>
          <w:tcPr>
            <w:tcW w:w="1843"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7</w:t>
            </w:r>
          </w:p>
        </w:tc>
        <w:tc>
          <w:tcPr>
            <w:tcW w:w="2268" w:type="dxa"/>
            <w:tcBorders>
              <w:top w:val="single" w:sz="8" w:space="0" w:color="auto"/>
              <w:left w:val="nil"/>
              <w:bottom w:val="single" w:sz="12" w:space="0" w:color="auto"/>
              <w:right w:val="nil"/>
            </w:tcBorders>
            <w:shd w:val="clear" w:color="auto" w:fill="auto"/>
          </w:tcPr>
          <w:p w:rsidR="00071DDA" w:rsidRPr="00071DDA" w:rsidRDefault="00071DDA" w:rsidP="00071DDA">
            <w:pPr>
              <w:spacing w:after="0"/>
              <w:jc w:val="center"/>
              <w:rPr>
                <w:sz w:val="20"/>
              </w:rPr>
            </w:pPr>
            <w:r w:rsidRPr="00071DDA">
              <w:rPr>
                <w:sz w:val="20"/>
              </w:rPr>
              <w:t>9</w:t>
            </w:r>
            <w:r>
              <w:rPr>
                <w:sz w:val="20"/>
              </w:rPr>
              <w:t>.</w:t>
            </w:r>
            <w:r w:rsidRPr="00071DDA">
              <w:rPr>
                <w:sz w:val="20"/>
              </w:rPr>
              <w:t>71</w:t>
            </w:r>
          </w:p>
        </w:tc>
        <w:tc>
          <w:tcPr>
            <w:tcW w:w="1560" w:type="dxa"/>
            <w:tcBorders>
              <w:top w:val="single" w:sz="8" w:space="0" w:color="auto"/>
              <w:left w:val="nil"/>
              <w:bottom w:val="single" w:sz="12"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194</w:t>
            </w:r>
            <w:r>
              <w:rPr>
                <w:sz w:val="20"/>
              </w:rPr>
              <w:t>.</w:t>
            </w:r>
            <w:r w:rsidRPr="00071DDA">
              <w:rPr>
                <w:sz w:val="20"/>
              </w:rPr>
              <w:t>2</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K17_B</w:t>
            </w:r>
            <w:r w:rsidR="00071DDA" w:rsidRPr="008D520F">
              <w:rPr>
                <w:rFonts w:ascii="Calibri" w:eastAsia="Times New Roman" w:hAnsi="Calibri" w:cs="Times New Roman"/>
                <w:bCs/>
                <w:color w:val="000000"/>
                <w:sz w:val="20"/>
                <w:szCs w:val="20"/>
                <w:lang w:val="en-GB" w:eastAsia="de-DE"/>
              </w:rPr>
              <w:t>2</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0.932</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37.28</w:t>
            </w:r>
          </w:p>
        </w:tc>
        <w:tc>
          <w:tcPr>
            <w:tcW w:w="1843"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7</w:t>
            </w:r>
          </w:p>
        </w:tc>
        <w:tc>
          <w:tcPr>
            <w:tcW w:w="2268" w:type="dxa"/>
            <w:tcBorders>
              <w:top w:val="single" w:sz="12" w:space="0" w:color="auto"/>
              <w:left w:val="nil"/>
              <w:bottom w:val="single" w:sz="8" w:space="0" w:color="auto"/>
              <w:right w:val="nil"/>
            </w:tcBorders>
            <w:shd w:val="clear" w:color="auto" w:fill="auto"/>
          </w:tcPr>
          <w:p w:rsidR="00071DDA" w:rsidRPr="00071DDA" w:rsidRDefault="00071DDA" w:rsidP="00071DDA">
            <w:pPr>
              <w:spacing w:after="0"/>
              <w:jc w:val="center"/>
              <w:rPr>
                <w:sz w:val="20"/>
              </w:rPr>
            </w:pPr>
            <w:r w:rsidRPr="00071DDA">
              <w:rPr>
                <w:sz w:val="20"/>
              </w:rPr>
              <w:t>3</w:t>
            </w:r>
            <w:r>
              <w:rPr>
                <w:sz w:val="20"/>
              </w:rPr>
              <w:t>.</w:t>
            </w:r>
            <w:r w:rsidRPr="00071DDA">
              <w:rPr>
                <w:sz w:val="20"/>
              </w:rPr>
              <w:t>96</w:t>
            </w:r>
          </w:p>
        </w:tc>
        <w:tc>
          <w:tcPr>
            <w:tcW w:w="1560" w:type="dxa"/>
            <w:tcBorders>
              <w:top w:val="single" w:sz="12" w:space="0" w:color="auto"/>
              <w:left w:val="nil"/>
              <w:bottom w:val="single" w:sz="8"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79</w:t>
            </w:r>
            <w:r>
              <w:rPr>
                <w:sz w:val="20"/>
              </w:rPr>
              <w:t>.</w:t>
            </w:r>
            <w:r w:rsidRPr="00071DDA">
              <w:rPr>
                <w:sz w:val="20"/>
              </w:rPr>
              <w:t>2</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K</w:t>
            </w:r>
            <w:r w:rsidR="004E77ED">
              <w:rPr>
                <w:rFonts w:ascii="Calibri" w:eastAsia="Times New Roman" w:hAnsi="Calibri" w:cs="Times New Roman"/>
                <w:bCs/>
                <w:color w:val="000000"/>
                <w:sz w:val="20"/>
                <w:szCs w:val="20"/>
                <w:lang w:val="en-GB" w:eastAsia="de-DE"/>
              </w:rPr>
              <w:t>17_B</w:t>
            </w:r>
            <w:r w:rsidRPr="008D520F">
              <w:rPr>
                <w:rFonts w:ascii="Calibri" w:eastAsia="Times New Roman" w:hAnsi="Calibri" w:cs="Times New Roman"/>
                <w:bCs/>
                <w:color w:val="000000"/>
                <w:sz w:val="20"/>
                <w:szCs w:val="20"/>
                <w:lang w:val="en-GB" w:eastAsia="de-DE"/>
              </w:rPr>
              <w:t>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0.714</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28.56</w:t>
            </w:r>
          </w:p>
        </w:tc>
        <w:tc>
          <w:tcPr>
            <w:tcW w:w="1843"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7</w:t>
            </w:r>
          </w:p>
        </w:tc>
        <w:tc>
          <w:tcPr>
            <w:tcW w:w="2268" w:type="dxa"/>
            <w:tcBorders>
              <w:top w:val="single" w:sz="8" w:space="0" w:color="auto"/>
              <w:left w:val="nil"/>
              <w:bottom w:val="single" w:sz="12" w:space="0" w:color="auto"/>
              <w:right w:val="nil"/>
            </w:tcBorders>
            <w:shd w:val="clear" w:color="auto" w:fill="auto"/>
          </w:tcPr>
          <w:p w:rsidR="00071DDA" w:rsidRPr="00071DDA" w:rsidRDefault="00071DDA" w:rsidP="00071DDA">
            <w:pPr>
              <w:spacing w:after="0"/>
              <w:jc w:val="center"/>
              <w:rPr>
                <w:sz w:val="20"/>
              </w:rPr>
            </w:pPr>
            <w:r w:rsidRPr="00071DDA">
              <w:rPr>
                <w:sz w:val="20"/>
              </w:rPr>
              <w:t>2</w:t>
            </w:r>
            <w:r>
              <w:rPr>
                <w:sz w:val="20"/>
              </w:rPr>
              <w:t>.</w:t>
            </w:r>
            <w:r w:rsidRPr="00071DDA">
              <w:rPr>
                <w:sz w:val="20"/>
              </w:rPr>
              <w:t>65</w:t>
            </w:r>
          </w:p>
        </w:tc>
        <w:tc>
          <w:tcPr>
            <w:tcW w:w="1560" w:type="dxa"/>
            <w:tcBorders>
              <w:top w:val="single" w:sz="8" w:space="0" w:color="auto"/>
              <w:left w:val="nil"/>
              <w:bottom w:val="single" w:sz="12"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53</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K18_B</w:t>
            </w:r>
            <w:r w:rsidR="00071DDA" w:rsidRPr="008D520F">
              <w:rPr>
                <w:rFonts w:ascii="Calibri" w:eastAsia="Times New Roman" w:hAnsi="Calibri" w:cs="Times New Roman"/>
                <w:bCs/>
                <w:color w:val="000000"/>
                <w:sz w:val="20"/>
                <w:szCs w:val="20"/>
                <w:lang w:val="en-GB" w:eastAsia="de-DE"/>
              </w:rPr>
              <w:t>1</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0.752</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30.08</w:t>
            </w:r>
          </w:p>
        </w:tc>
        <w:tc>
          <w:tcPr>
            <w:tcW w:w="1843"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7</w:t>
            </w:r>
          </w:p>
        </w:tc>
        <w:tc>
          <w:tcPr>
            <w:tcW w:w="2268" w:type="dxa"/>
            <w:tcBorders>
              <w:top w:val="single" w:sz="12" w:space="0" w:color="auto"/>
              <w:left w:val="nil"/>
              <w:bottom w:val="single" w:sz="8" w:space="0" w:color="auto"/>
              <w:right w:val="nil"/>
            </w:tcBorders>
            <w:shd w:val="clear" w:color="auto" w:fill="auto"/>
          </w:tcPr>
          <w:p w:rsidR="00071DDA" w:rsidRPr="00071DDA" w:rsidRDefault="00071DDA" w:rsidP="00071DDA">
            <w:pPr>
              <w:spacing w:after="0"/>
              <w:jc w:val="center"/>
              <w:rPr>
                <w:sz w:val="20"/>
              </w:rPr>
            </w:pPr>
            <w:r w:rsidRPr="00071DDA">
              <w:rPr>
                <w:sz w:val="20"/>
              </w:rPr>
              <w:t>2</w:t>
            </w:r>
            <w:r>
              <w:rPr>
                <w:sz w:val="20"/>
              </w:rPr>
              <w:t>.</w:t>
            </w:r>
            <w:r w:rsidRPr="00071DDA">
              <w:rPr>
                <w:sz w:val="20"/>
              </w:rPr>
              <w:t>8</w:t>
            </w:r>
          </w:p>
        </w:tc>
        <w:tc>
          <w:tcPr>
            <w:tcW w:w="1560" w:type="dxa"/>
            <w:tcBorders>
              <w:top w:val="single" w:sz="12" w:space="0" w:color="auto"/>
              <w:left w:val="nil"/>
              <w:bottom w:val="single" w:sz="8"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56</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K18_B</w:t>
            </w:r>
            <w:r w:rsidR="00071DDA" w:rsidRPr="008D520F">
              <w:rPr>
                <w:rFonts w:ascii="Calibri" w:eastAsia="Times New Roman" w:hAnsi="Calibri" w:cs="Times New Roman"/>
                <w:bCs/>
                <w:color w:val="000000"/>
                <w:sz w:val="20"/>
                <w:szCs w:val="20"/>
                <w:lang w:val="en-GB" w:eastAsia="de-DE"/>
              </w:rPr>
              <w:t>2</w:t>
            </w:r>
          </w:p>
        </w:tc>
        <w:tc>
          <w:tcPr>
            <w:tcW w:w="1718" w:type="dxa"/>
            <w:tcBorders>
              <w:top w:val="single" w:sz="8"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0.974</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38.96</w:t>
            </w:r>
          </w:p>
        </w:tc>
        <w:tc>
          <w:tcPr>
            <w:tcW w:w="1843" w:type="dxa"/>
            <w:tcBorders>
              <w:top w:val="single" w:sz="8" w:space="0" w:color="auto"/>
              <w:left w:val="nil"/>
              <w:bottom w:val="single" w:sz="8"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single" w:sz="8"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7</w:t>
            </w:r>
          </w:p>
        </w:tc>
        <w:tc>
          <w:tcPr>
            <w:tcW w:w="2268" w:type="dxa"/>
            <w:tcBorders>
              <w:top w:val="single" w:sz="8" w:space="0" w:color="auto"/>
              <w:left w:val="nil"/>
              <w:bottom w:val="single" w:sz="8" w:space="0" w:color="auto"/>
              <w:right w:val="nil"/>
            </w:tcBorders>
            <w:shd w:val="clear" w:color="auto" w:fill="auto"/>
          </w:tcPr>
          <w:p w:rsidR="00071DDA" w:rsidRPr="00071DDA" w:rsidRDefault="00071DDA" w:rsidP="00071DDA">
            <w:pPr>
              <w:spacing w:after="0"/>
              <w:jc w:val="center"/>
              <w:rPr>
                <w:sz w:val="20"/>
              </w:rPr>
            </w:pPr>
            <w:r w:rsidRPr="00071DDA">
              <w:rPr>
                <w:sz w:val="20"/>
              </w:rPr>
              <w:t>5</w:t>
            </w:r>
            <w:r>
              <w:rPr>
                <w:sz w:val="20"/>
              </w:rPr>
              <w:t>.</w:t>
            </w:r>
            <w:r w:rsidRPr="00071DDA">
              <w:rPr>
                <w:sz w:val="20"/>
              </w:rPr>
              <w:t>2</w:t>
            </w:r>
          </w:p>
        </w:tc>
        <w:tc>
          <w:tcPr>
            <w:tcW w:w="1560" w:type="dxa"/>
            <w:tcBorders>
              <w:top w:val="single" w:sz="8" w:space="0" w:color="auto"/>
              <w:left w:val="nil"/>
              <w:bottom w:val="single" w:sz="8"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104</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K18_B</w:t>
            </w:r>
            <w:r w:rsidR="00071DDA" w:rsidRPr="008D520F">
              <w:rPr>
                <w:rFonts w:ascii="Calibri" w:eastAsia="Times New Roman" w:hAnsi="Calibri" w:cs="Times New Roman"/>
                <w:bCs/>
                <w:color w:val="000000"/>
                <w:sz w:val="20"/>
                <w:szCs w:val="20"/>
                <w:lang w:val="en-GB" w:eastAsia="de-DE"/>
              </w:rPr>
              <w:t>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0.92</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36.8</w:t>
            </w:r>
          </w:p>
        </w:tc>
        <w:tc>
          <w:tcPr>
            <w:tcW w:w="1843"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7</w:t>
            </w:r>
          </w:p>
        </w:tc>
        <w:tc>
          <w:tcPr>
            <w:tcW w:w="2268" w:type="dxa"/>
            <w:tcBorders>
              <w:top w:val="single" w:sz="8" w:space="0" w:color="auto"/>
              <w:left w:val="nil"/>
              <w:bottom w:val="single" w:sz="12" w:space="0" w:color="auto"/>
              <w:right w:val="nil"/>
            </w:tcBorders>
            <w:shd w:val="clear" w:color="auto" w:fill="auto"/>
          </w:tcPr>
          <w:p w:rsidR="00071DDA" w:rsidRPr="00071DDA" w:rsidRDefault="00071DDA" w:rsidP="00071DDA">
            <w:pPr>
              <w:spacing w:after="0"/>
              <w:jc w:val="center"/>
              <w:rPr>
                <w:sz w:val="20"/>
              </w:rPr>
            </w:pPr>
            <w:r w:rsidRPr="00071DDA">
              <w:rPr>
                <w:sz w:val="20"/>
              </w:rPr>
              <w:t>8</w:t>
            </w:r>
            <w:r>
              <w:rPr>
                <w:sz w:val="20"/>
              </w:rPr>
              <w:t>.</w:t>
            </w:r>
            <w:r w:rsidRPr="00071DDA">
              <w:rPr>
                <w:sz w:val="20"/>
              </w:rPr>
              <w:t>97</w:t>
            </w:r>
          </w:p>
        </w:tc>
        <w:tc>
          <w:tcPr>
            <w:tcW w:w="1560" w:type="dxa"/>
            <w:tcBorders>
              <w:top w:val="single" w:sz="8" w:space="0" w:color="auto"/>
              <w:left w:val="nil"/>
              <w:bottom w:val="single" w:sz="12"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179</w:t>
            </w:r>
            <w:r>
              <w:rPr>
                <w:sz w:val="20"/>
              </w:rPr>
              <w:t>.</w:t>
            </w:r>
            <w:r w:rsidRPr="00071DDA">
              <w:rPr>
                <w:sz w:val="20"/>
              </w:rPr>
              <w:t>4</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P25_B</w:t>
            </w:r>
            <w:r w:rsidR="00071DDA" w:rsidRPr="008D520F">
              <w:rPr>
                <w:rFonts w:ascii="Calibri" w:eastAsia="Times New Roman" w:hAnsi="Calibri" w:cs="Times New Roman"/>
                <w:bCs/>
                <w:color w:val="000000"/>
                <w:sz w:val="20"/>
                <w:szCs w:val="20"/>
                <w:lang w:val="en-GB" w:eastAsia="de-DE"/>
              </w:rPr>
              <w:t>1</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1.29</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51.6</w:t>
            </w:r>
          </w:p>
        </w:tc>
        <w:tc>
          <w:tcPr>
            <w:tcW w:w="1843"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12" w:space="0" w:color="auto"/>
              <w:left w:val="nil"/>
              <w:bottom w:val="single" w:sz="8" w:space="0" w:color="auto"/>
              <w:right w:val="nil"/>
            </w:tcBorders>
            <w:shd w:val="clear" w:color="auto" w:fill="auto"/>
          </w:tcPr>
          <w:p w:rsidR="00071DDA" w:rsidRPr="00071DDA" w:rsidRDefault="00071DDA" w:rsidP="00071DDA">
            <w:pPr>
              <w:spacing w:after="0"/>
              <w:jc w:val="center"/>
              <w:rPr>
                <w:sz w:val="20"/>
              </w:rPr>
            </w:pPr>
            <w:r w:rsidRPr="00071DDA">
              <w:rPr>
                <w:sz w:val="20"/>
              </w:rPr>
              <w:t>4</w:t>
            </w:r>
            <w:r>
              <w:rPr>
                <w:sz w:val="20"/>
              </w:rPr>
              <w:t>.</w:t>
            </w:r>
            <w:r w:rsidRPr="00071DDA">
              <w:rPr>
                <w:sz w:val="20"/>
              </w:rPr>
              <w:t>77</w:t>
            </w:r>
          </w:p>
        </w:tc>
        <w:tc>
          <w:tcPr>
            <w:tcW w:w="1560" w:type="dxa"/>
            <w:tcBorders>
              <w:top w:val="single" w:sz="12" w:space="0" w:color="auto"/>
              <w:left w:val="nil"/>
              <w:bottom w:val="single" w:sz="8"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95</w:t>
            </w:r>
            <w:r>
              <w:rPr>
                <w:sz w:val="20"/>
              </w:rPr>
              <w:t>.</w:t>
            </w:r>
            <w:r w:rsidRPr="00071DDA">
              <w:rPr>
                <w:sz w:val="20"/>
              </w:rPr>
              <w:t>4</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P25_B</w:t>
            </w:r>
            <w:r w:rsidR="00071DDA" w:rsidRPr="008D520F">
              <w:rPr>
                <w:rFonts w:ascii="Calibri" w:eastAsia="Times New Roman" w:hAnsi="Calibri" w:cs="Times New Roman"/>
                <w:bCs/>
                <w:color w:val="000000"/>
                <w:sz w:val="20"/>
                <w:szCs w:val="20"/>
                <w:lang w:val="en-GB" w:eastAsia="de-DE"/>
              </w:rPr>
              <w:t>2</w:t>
            </w:r>
          </w:p>
        </w:tc>
        <w:tc>
          <w:tcPr>
            <w:tcW w:w="1718" w:type="dxa"/>
            <w:tcBorders>
              <w:top w:val="single" w:sz="8"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1.4</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56</w:t>
            </w:r>
          </w:p>
        </w:tc>
        <w:tc>
          <w:tcPr>
            <w:tcW w:w="1843" w:type="dxa"/>
            <w:tcBorders>
              <w:top w:val="single" w:sz="8" w:space="0" w:color="auto"/>
              <w:left w:val="nil"/>
              <w:bottom w:val="nil"/>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nil"/>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nil"/>
              <w:bottom w:val="nil"/>
              <w:right w:val="nil"/>
            </w:tcBorders>
            <w:shd w:val="clear" w:color="auto" w:fill="auto"/>
          </w:tcPr>
          <w:p w:rsidR="00071DDA" w:rsidRPr="00071DDA" w:rsidRDefault="00071DDA" w:rsidP="00071DDA">
            <w:pPr>
              <w:spacing w:after="0"/>
              <w:jc w:val="center"/>
              <w:rPr>
                <w:sz w:val="20"/>
              </w:rPr>
            </w:pPr>
            <w:r w:rsidRPr="00071DDA">
              <w:rPr>
                <w:sz w:val="20"/>
              </w:rPr>
              <w:t>4</w:t>
            </w:r>
            <w:r>
              <w:rPr>
                <w:sz w:val="20"/>
              </w:rPr>
              <w:t>.</w:t>
            </w:r>
            <w:r w:rsidRPr="00071DDA">
              <w:rPr>
                <w:sz w:val="20"/>
              </w:rPr>
              <w:t>93</w:t>
            </w:r>
          </w:p>
        </w:tc>
        <w:tc>
          <w:tcPr>
            <w:tcW w:w="1560" w:type="dxa"/>
            <w:tcBorders>
              <w:top w:val="single" w:sz="8" w:space="0" w:color="auto"/>
              <w:left w:val="nil"/>
              <w:bottom w:val="nil"/>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98</w:t>
            </w:r>
            <w:r>
              <w:rPr>
                <w:sz w:val="20"/>
              </w:rPr>
              <w:t>.</w:t>
            </w:r>
            <w:r w:rsidRPr="00071DDA">
              <w:rPr>
                <w:sz w:val="20"/>
              </w:rPr>
              <w:t>6</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P25_B</w:t>
            </w:r>
            <w:r w:rsidR="00071DDA" w:rsidRPr="008D520F">
              <w:rPr>
                <w:rFonts w:ascii="Calibri" w:eastAsia="Times New Roman" w:hAnsi="Calibri" w:cs="Times New Roman"/>
                <w:bCs/>
                <w:color w:val="000000"/>
                <w:sz w:val="20"/>
                <w:szCs w:val="20"/>
                <w:lang w:val="en-GB" w:eastAsia="de-DE"/>
              </w:rPr>
              <w:t>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1.43</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57.2</w:t>
            </w:r>
          </w:p>
        </w:tc>
        <w:tc>
          <w:tcPr>
            <w:tcW w:w="1843"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nil"/>
              <w:bottom w:val="single" w:sz="12" w:space="0" w:color="auto"/>
              <w:right w:val="nil"/>
            </w:tcBorders>
            <w:shd w:val="clear" w:color="auto" w:fill="auto"/>
          </w:tcPr>
          <w:p w:rsidR="00071DDA" w:rsidRPr="00071DDA" w:rsidRDefault="00071DDA" w:rsidP="00071DDA">
            <w:pPr>
              <w:spacing w:after="0"/>
              <w:jc w:val="center"/>
              <w:rPr>
                <w:sz w:val="20"/>
              </w:rPr>
            </w:pPr>
            <w:r w:rsidRPr="00071DDA">
              <w:rPr>
                <w:sz w:val="20"/>
              </w:rPr>
              <w:t>3</w:t>
            </w:r>
            <w:r>
              <w:rPr>
                <w:sz w:val="20"/>
              </w:rPr>
              <w:t>.</w:t>
            </w:r>
            <w:r w:rsidRPr="00071DDA">
              <w:rPr>
                <w:sz w:val="20"/>
              </w:rPr>
              <w:t>55</w:t>
            </w:r>
          </w:p>
        </w:tc>
        <w:tc>
          <w:tcPr>
            <w:tcW w:w="1560" w:type="dxa"/>
            <w:tcBorders>
              <w:top w:val="single" w:sz="8" w:space="0" w:color="auto"/>
              <w:left w:val="nil"/>
              <w:bottom w:val="single" w:sz="12"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71</w:t>
            </w:r>
          </w:p>
        </w:tc>
      </w:tr>
      <w:tr w:rsidR="00071DDA" w:rsidRPr="008D520F" w:rsidTr="003277FB">
        <w:trPr>
          <w:trHeigh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P27_B</w:t>
            </w:r>
            <w:r w:rsidR="00071DDA" w:rsidRPr="008D520F">
              <w:rPr>
                <w:rFonts w:ascii="Calibri" w:eastAsia="Times New Roman" w:hAnsi="Calibri" w:cs="Times New Roman"/>
                <w:bCs/>
                <w:color w:val="000000"/>
                <w:sz w:val="20"/>
                <w:szCs w:val="20"/>
                <w:lang w:val="en-GB" w:eastAsia="de-DE"/>
              </w:rPr>
              <w:t>2</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24.2</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968</w:t>
            </w:r>
            <w:r>
              <w:rPr>
                <w:rFonts w:ascii="Calibri" w:hAnsi="Calibri"/>
                <w:color w:val="000000"/>
                <w:sz w:val="20"/>
                <w:szCs w:val="20"/>
                <w:lang w:val="en-GB"/>
              </w:rPr>
              <w:t>*</w:t>
            </w:r>
          </w:p>
        </w:tc>
        <w:tc>
          <w:tcPr>
            <w:tcW w:w="1843"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4</w:t>
            </w:r>
          </w:p>
        </w:tc>
        <w:tc>
          <w:tcPr>
            <w:tcW w:w="2268" w:type="dxa"/>
            <w:tcBorders>
              <w:top w:val="single" w:sz="12" w:space="0" w:color="auto"/>
              <w:left w:val="nil"/>
              <w:bottom w:val="single" w:sz="8" w:space="0" w:color="auto"/>
              <w:right w:val="nil"/>
            </w:tcBorders>
            <w:shd w:val="clear" w:color="auto" w:fill="auto"/>
          </w:tcPr>
          <w:p w:rsidR="00071DDA" w:rsidRPr="00071DDA" w:rsidRDefault="00071DDA" w:rsidP="00071DDA">
            <w:pPr>
              <w:spacing w:after="0"/>
              <w:jc w:val="center"/>
              <w:rPr>
                <w:sz w:val="20"/>
              </w:rPr>
            </w:pPr>
            <w:r w:rsidRPr="00071DDA">
              <w:rPr>
                <w:sz w:val="20"/>
              </w:rPr>
              <w:t>6</w:t>
            </w:r>
            <w:r>
              <w:rPr>
                <w:sz w:val="20"/>
              </w:rPr>
              <w:t>.</w:t>
            </w:r>
            <w:r w:rsidRPr="00071DDA">
              <w:rPr>
                <w:sz w:val="20"/>
              </w:rPr>
              <w:t>56</w:t>
            </w:r>
          </w:p>
        </w:tc>
        <w:tc>
          <w:tcPr>
            <w:tcW w:w="1560" w:type="dxa"/>
            <w:tcBorders>
              <w:top w:val="single" w:sz="12" w:space="0" w:color="auto"/>
              <w:left w:val="nil"/>
              <w:bottom w:val="single" w:sz="8"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131</w:t>
            </w:r>
            <w:r>
              <w:rPr>
                <w:sz w:val="20"/>
              </w:rPr>
              <w:t>.</w:t>
            </w:r>
            <w:r w:rsidRPr="00071DDA">
              <w:rPr>
                <w:sz w:val="20"/>
              </w:rPr>
              <w:t>2</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P27_B</w:t>
            </w:r>
            <w:r w:rsidR="00071DDA" w:rsidRPr="008D520F">
              <w:rPr>
                <w:rFonts w:ascii="Calibri" w:eastAsia="Times New Roman" w:hAnsi="Calibri" w:cs="Times New Roman"/>
                <w:bCs/>
                <w:color w:val="000000"/>
                <w:sz w:val="20"/>
                <w:szCs w:val="20"/>
                <w:lang w:val="en-GB" w:eastAsia="de-DE"/>
              </w:rPr>
              <w:t>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26.4</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1056</w:t>
            </w:r>
            <w:r>
              <w:rPr>
                <w:rFonts w:ascii="Calibri" w:hAnsi="Calibri"/>
                <w:color w:val="000000"/>
                <w:sz w:val="20"/>
                <w:szCs w:val="20"/>
                <w:lang w:val="en-GB"/>
              </w:rPr>
              <w:t>*</w:t>
            </w:r>
          </w:p>
        </w:tc>
        <w:tc>
          <w:tcPr>
            <w:tcW w:w="1843"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4</w:t>
            </w:r>
          </w:p>
        </w:tc>
        <w:tc>
          <w:tcPr>
            <w:tcW w:w="2268" w:type="dxa"/>
            <w:tcBorders>
              <w:top w:val="single" w:sz="8" w:space="0" w:color="auto"/>
              <w:left w:val="nil"/>
              <w:bottom w:val="single" w:sz="12" w:space="0" w:color="auto"/>
              <w:right w:val="nil"/>
            </w:tcBorders>
            <w:shd w:val="clear" w:color="auto" w:fill="auto"/>
          </w:tcPr>
          <w:p w:rsidR="00071DDA" w:rsidRPr="00071DDA" w:rsidRDefault="00071DDA" w:rsidP="00071DDA">
            <w:pPr>
              <w:spacing w:after="0"/>
              <w:jc w:val="center"/>
              <w:rPr>
                <w:sz w:val="20"/>
              </w:rPr>
            </w:pPr>
            <w:r w:rsidRPr="00071DDA">
              <w:rPr>
                <w:sz w:val="20"/>
              </w:rPr>
              <w:t>14</w:t>
            </w:r>
            <w:r>
              <w:rPr>
                <w:sz w:val="20"/>
              </w:rPr>
              <w:t>.</w:t>
            </w:r>
            <w:r w:rsidRPr="00071DDA">
              <w:rPr>
                <w:sz w:val="20"/>
              </w:rPr>
              <w:t>4</w:t>
            </w:r>
          </w:p>
        </w:tc>
        <w:tc>
          <w:tcPr>
            <w:tcW w:w="1560" w:type="dxa"/>
            <w:tcBorders>
              <w:top w:val="single" w:sz="8" w:space="0" w:color="auto"/>
              <w:left w:val="nil"/>
              <w:bottom w:val="single" w:sz="12"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288</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P29_B</w:t>
            </w:r>
            <w:r w:rsidR="00071DDA" w:rsidRPr="008D520F">
              <w:rPr>
                <w:rFonts w:ascii="Calibri" w:eastAsia="Times New Roman" w:hAnsi="Calibri" w:cs="Times New Roman"/>
                <w:bCs/>
                <w:color w:val="000000"/>
                <w:sz w:val="20"/>
                <w:szCs w:val="20"/>
                <w:lang w:val="en-GB" w:eastAsia="de-DE"/>
              </w:rPr>
              <w:t>1</w:t>
            </w:r>
          </w:p>
        </w:tc>
        <w:tc>
          <w:tcPr>
            <w:tcW w:w="1718" w:type="dxa"/>
            <w:tcBorders>
              <w:top w:val="single" w:sz="12"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1.61</w:t>
            </w:r>
          </w:p>
        </w:tc>
        <w:tc>
          <w:tcPr>
            <w:tcW w:w="851" w:type="dxa"/>
            <w:tcBorders>
              <w:top w:val="single" w:sz="12"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12"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64.4</w:t>
            </w:r>
          </w:p>
        </w:tc>
        <w:tc>
          <w:tcPr>
            <w:tcW w:w="1843"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12" w:space="0" w:color="auto"/>
              <w:left w:val="nil"/>
              <w:bottom w:val="single" w:sz="8"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12" w:space="0" w:color="auto"/>
              <w:left w:val="nil"/>
              <w:bottom w:val="single" w:sz="8" w:space="0" w:color="auto"/>
              <w:right w:val="nil"/>
            </w:tcBorders>
            <w:shd w:val="clear" w:color="auto" w:fill="auto"/>
          </w:tcPr>
          <w:p w:rsidR="00071DDA" w:rsidRPr="00071DDA" w:rsidRDefault="00071DDA" w:rsidP="00071DDA">
            <w:pPr>
              <w:spacing w:after="0"/>
              <w:jc w:val="center"/>
              <w:rPr>
                <w:sz w:val="20"/>
              </w:rPr>
            </w:pPr>
            <w:r w:rsidRPr="00071DDA">
              <w:rPr>
                <w:sz w:val="20"/>
              </w:rPr>
              <w:t>7</w:t>
            </w:r>
            <w:r>
              <w:rPr>
                <w:sz w:val="20"/>
              </w:rPr>
              <w:t>.</w:t>
            </w:r>
            <w:r w:rsidRPr="00071DDA">
              <w:rPr>
                <w:sz w:val="20"/>
              </w:rPr>
              <w:t>25</w:t>
            </w:r>
          </w:p>
        </w:tc>
        <w:tc>
          <w:tcPr>
            <w:tcW w:w="1560" w:type="dxa"/>
            <w:tcBorders>
              <w:top w:val="single" w:sz="12" w:space="0" w:color="auto"/>
              <w:left w:val="nil"/>
              <w:bottom w:val="single" w:sz="8"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145</w:t>
            </w:r>
          </w:p>
        </w:tc>
      </w:tr>
      <w:tr w:rsidR="00071DDA" w:rsidRPr="008D520F" w:rsidTr="003277FB">
        <w:trPr>
          <w:trHeight w:hRule="exact" w:val="315"/>
        </w:trPr>
        <w:tc>
          <w:tcPr>
            <w:tcW w:w="1160" w:type="dxa"/>
            <w:vMerge/>
            <w:tcBorders>
              <w:left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P29_B</w:t>
            </w:r>
            <w:r w:rsidR="00071DDA" w:rsidRPr="008D520F">
              <w:rPr>
                <w:rFonts w:ascii="Calibri" w:eastAsia="Times New Roman" w:hAnsi="Calibri" w:cs="Times New Roman"/>
                <w:bCs/>
                <w:color w:val="000000"/>
                <w:sz w:val="20"/>
                <w:szCs w:val="20"/>
                <w:lang w:val="en-GB" w:eastAsia="de-DE"/>
              </w:rPr>
              <w:t>2</w:t>
            </w:r>
          </w:p>
        </w:tc>
        <w:tc>
          <w:tcPr>
            <w:tcW w:w="1718" w:type="dxa"/>
            <w:tcBorders>
              <w:top w:val="single" w:sz="8" w:space="0" w:color="auto"/>
              <w:left w:val="single" w:sz="4" w:space="0" w:color="auto"/>
              <w:bottom w:val="single" w:sz="8"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1.51</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60.4</w:t>
            </w:r>
          </w:p>
        </w:tc>
        <w:tc>
          <w:tcPr>
            <w:tcW w:w="1843" w:type="dxa"/>
            <w:tcBorders>
              <w:top w:val="single" w:sz="8" w:space="0" w:color="auto"/>
              <w:left w:val="nil"/>
              <w:bottom w:val="single" w:sz="8"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single" w:sz="8"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nil"/>
              <w:bottom w:val="single" w:sz="8" w:space="0" w:color="auto"/>
              <w:right w:val="nil"/>
            </w:tcBorders>
            <w:shd w:val="clear" w:color="auto" w:fill="auto"/>
          </w:tcPr>
          <w:p w:rsidR="00071DDA" w:rsidRPr="00071DDA" w:rsidRDefault="00071DDA" w:rsidP="00071DDA">
            <w:pPr>
              <w:spacing w:after="0"/>
              <w:jc w:val="center"/>
              <w:rPr>
                <w:sz w:val="20"/>
              </w:rPr>
            </w:pPr>
            <w:r w:rsidRPr="00071DDA">
              <w:rPr>
                <w:sz w:val="20"/>
              </w:rPr>
              <w:t>7</w:t>
            </w:r>
            <w:r>
              <w:rPr>
                <w:sz w:val="20"/>
              </w:rPr>
              <w:t>.</w:t>
            </w:r>
            <w:r w:rsidRPr="00071DDA">
              <w:rPr>
                <w:sz w:val="20"/>
              </w:rPr>
              <w:t>76</w:t>
            </w:r>
          </w:p>
        </w:tc>
        <w:tc>
          <w:tcPr>
            <w:tcW w:w="1560" w:type="dxa"/>
            <w:tcBorders>
              <w:top w:val="single" w:sz="8" w:space="0" w:color="auto"/>
              <w:left w:val="nil"/>
              <w:bottom w:val="single" w:sz="8"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155</w:t>
            </w:r>
            <w:r>
              <w:rPr>
                <w:sz w:val="20"/>
              </w:rPr>
              <w:t>.</w:t>
            </w:r>
            <w:r w:rsidRPr="00071DDA">
              <w:rPr>
                <w:sz w:val="20"/>
              </w:rPr>
              <w:t>2</w:t>
            </w:r>
          </w:p>
        </w:tc>
      </w:tr>
      <w:tr w:rsidR="00071DDA" w:rsidRPr="008D520F" w:rsidTr="003277FB">
        <w:trPr>
          <w:trHeight w:hRule="exact" w:val="315"/>
        </w:trPr>
        <w:tc>
          <w:tcPr>
            <w:tcW w:w="1160" w:type="dxa"/>
            <w:vMerge/>
            <w:tcBorders>
              <w:left w:val="single" w:sz="12" w:space="0" w:color="auto"/>
              <w:bottom w:val="single" w:sz="12" w:space="0" w:color="auto"/>
              <w:right w:val="single" w:sz="8" w:space="0" w:color="auto"/>
            </w:tcBorders>
            <w:shd w:val="clear" w:color="auto" w:fill="auto"/>
            <w:noWrap/>
            <w:vAlign w:val="center"/>
          </w:tcPr>
          <w:p w:rsidR="00071DDA" w:rsidRPr="008D520F" w:rsidRDefault="00071DDA" w:rsidP="00071DDA">
            <w:pPr>
              <w:spacing w:after="0" w:line="240" w:lineRule="auto"/>
              <w:rPr>
                <w:rFonts w:ascii="Calibri" w:eastAsia="Times New Roman" w:hAnsi="Calibri" w:cs="Times New Roman"/>
                <w:b/>
                <w:bCs/>
                <w:color w:val="000000"/>
                <w:sz w:val="20"/>
                <w:szCs w:val="20"/>
                <w:lang w:val="en-GB" w:eastAsia="de-DE"/>
              </w:rPr>
            </w:pPr>
          </w:p>
        </w:tc>
        <w:tc>
          <w:tcPr>
            <w:tcW w:w="114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4E77ED" w:rsidP="00071DDA">
            <w:pPr>
              <w:spacing w:after="0" w:line="240" w:lineRule="auto"/>
              <w:jc w:val="center"/>
              <w:rPr>
                <w:rFonts w:ascii="Calibri" w:eastAsia="Times New Roman" w:hAnsi="Calibri" w:cs="Times New Roman"/>
                <w:bCs/>
                <w:color w:val="000000"/>
                <w:sz w:val="20"/>
                <w:szCs w:val="20"/>
                <w:lang w:val="en-GB" w:eastAsia="de-DE"/>
              </w:rPr>
            </w:pPr>
            <w:r>
              <w:rPr>
                <w:rFonts w:ascii="Calibri" w:eastAsia="Times New Roman" w:hAnsi="Calibri" w:cs="Times New Roman"/>
                <w:bCs/>
                <w:color w:val="000000"/>
                <w:sz w:val="20"/>
                <w:szCs w:val="20"/>
                <w:lang w:val="en-GB" w:eastAsia="de-DE"/>
              </w:rPr>
              <w:t>P29_B</w:t>
            </w:r>
            <w:r w:rsidR="00071DDA" w:rsidRPr="008D520F">
              <w:rPr>
                <w:rFonts w:ascii="Calibri" w:eastAsia="Times New Roman" w:hAnsi="Calibri" w:cs="Times New Roman"/>
                <w:bCs/>
                <w:color w:val="000000"/>
                <w:sz w:val="20"/>
                <w:szCs w:val="20"/>
                <w:lang w:val="en-GB" w:eastAsia="de-DE"/>
              </w:rPr>
              <w:t>3</w:t>
            </w:r>
          </w:p>
        </w:tc>
        <w:tc>
          <w:tcPr>
            <w:tcW w:w="1718" w:type="dxa"/>
            <w:tcBorders>
              <w:top w:val="single" w:sz="8" w:space="0" w:color="auto"/>
              <w:left w:val="single" w:sz="4" w:space="0" w:color="auto"/>
              <w:bottom w:val="single" w:sz="12" w:space="0" w:color="auto"/>
              <w:right w:val="single" w:sz="4" w:space="0" w:color="auto"/>
            </w:tcBorders>
            <w:shd w:val="clear" w:color="auto" w:fill="auto"/>
            <w:vAlign w:val="center"/>
          </w:tcPr>
          <w:p w:rsidR="00071DDA" w:rsidRPr="008D520F" w:rsidRDefault="00071DDA" w:rsidP="00071DDA">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1.72</w:t>
            </w:r>
          </w:p>
        </w:tc>
        <w:tc>
          <w:tcPr>
            <w:tcW w:w="851" w:type="dxa"/>
            <w:tcBorders>
              <w:top w:val="single" w:sz="8" w:space="0" w:color="auto"/>
              <w:left w:val="nil"/>
              <w:bottom w:val="single" w:sz="12" w:space="0" w:color="auto"/>
              <w:right w:val="single" w:sz="8" w:space="0" w:color="auto"/>
            </w:tcBorders>
            <w:shd w:val="clear" w:color="auto" w:fill="auto"/>
            <w:noWrap/>
            <w:vAlign w:val="center"/>
          </w:tcPr>
          <w:p w:rsidR="00071DDA" w:rsidRPr="008D520F" w:rsidRDefault="00071DDA" w:rsidP="00071DDA">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559" w:type="dxa"/>
            <w:tcBorders>
              <w:top w:val="single" w:sz="8" w:space="0" w:color="auto"/>
              <w:left w:val="single" w:sz="4" w:space="0" w:color="auto"/>
              <w:bottom w:val="single" w:sz="12" w:space="0" w:color="auto"/>
              <w:right w:val="single" w:sz="4" w:space="0" w:color="auto"/>
            </w:tcBorders>
            <w:shd w:val="clear" w:color="auto" w:fill="auto"/>
            <w:noWrap/>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68.8</w:t>
            </w:r>
          </w:p>
        </w:tc>
        <w:tc>
          <w:tcPr>
            <w:tcW w:w="1843"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sz w:val="20"/>
                <w:szCs w:val="20"/>
                <w:lang w:val="en-GB"/>
              </w:rPr>
            </w:pPr>
            <w:r w:rsidRPr="008D520F">
              <w:rPr>
                <w:rFonts w:ascii="Calibri" w:eastAsia="Times New Roman" w:hAnsi="Calibri" w:cs="Times New Roman"/>
                <w:bCs/>
                <w:color w:val="000000"/>
                <w:sz w:val="20"/>
                <w:szCs w:val="20"/>
                <w:lang w:val="en-GB" w:eastAsia="de-DE"/>
              </w:rPr>
              <w:t>NEB EM-Seq</w:t>
            </w:r>
          </w:p>
        </w:tc>
        <w:tc>
          <w:tcPr>
            <w:tcW w:w="1275" w:type="dxa"/>
            <w:tcBorders>
              <w:top w:val="single" w:sz="8" w:space="0" w:color="auto"/>
              <w:left w:val="nil"/>
              <w:bottom w:val="single" w:sz="12" w:space="0" w:color="auto"/>
              <w:right w:val="nil"/>
            </w:tcBorders>
            <w:shd w:val="clear" w:color="auto" w:fill="auto"/>
            <w:vAlign w:val="center"/>
          </w:tcPr>
          <w:p w:rsidR="00071DDA" w:rsidRPr="008D520F" w:rsidRDefault="00071DDA" w:rsidP="00071DDA">
            <w:pPr>
              <w:spacing w:after="0"/>
              <w:jc w:val="center"/>
              <w:rPr>
                <w:rFonts w:ascii="Calibri" w:hAnsi="Calibri"/>
                <w:color w:val="000000"/>
                <w:sz w:val="20"/>
                <w:szCs w:val="20"/>
                <w:lang w:val="en-GB"/>
              </w:rPr>
            </w:pPr>
            <w:r w:rsidRPr="008D520F">
              <w:rPr>
                <w:rFonts w:ascii="Calibri" w:hAnsi="Calibri"/>
                <w:color w:val="000000"/>
                <w:sz w:val="20"/>
                <w:szCs w:val="20"/>
                <w:lang w:val="en-GB"/>
              </w:rPr>
              <w:t>6</w:t>
            </w:r>
          </w:p>
        </w:tc>
        <w:tc>
          <w:tcPr>
            <w:tcW w:w="2268" w:type="dxa"/>
            <w:tcBorders>
              <w:top w:val="single" w:sz="8" w:space="0" w:color="auto"/>
              <w:left w:val="nil"/>
              <w:bottom w:val="single" w:sz="12" w:space="0" w:color="auto"/>
              <w:right w:val="nil"/>
            </w:tcBorders>
            <w:shd w:val="clear" w:color="auto" w:fill="auto"/>
          </w:tcPr>
          <w:p w:rsidR="00071DDA" w:rsidRPr="00071DDA" w:rsidRDefault="00071DDA" w:rsidP="00071DDA">
            <w:pPr>
              <w:spacing w:after="0"/>
              <w:jc w:val="center"/>
              <w:rPr>
                <w:sz w:val="20"/>
              </w:rPr>
            </w:pPr>
            <w:r w:rsidRPr="00071DDA">
              <w:rPr>
                <w:sz w:val="20"/>
              </w:rPr>
              <w:t>8</w:t>
            </w:r>
            <w:r>
              <w:rPr>
                <w:sz w:val="20"/>
              </w:rPr>
              <w:t>.</w:t>
            </w:r>
            <w:r w:rsidRPr="00071DDA">
              <w:rPr>
                <w:sz w:val="20"/>
              </w:rPr>
              <w:t>57</w:t>
            </w:r>
          </w:p>
        </w:tc>
        <w:tc>
          <w:tcPr>
            <w:tcW w:w="1560" w:type="dxa"/>
            <w:tcBorders>
              <w:top w:val="single" w:sz="8" w:space="0" w:color="auto"/>
              <w:left w:val="nil"/>
              <w:bottom w:val="single" w:sz="12" w:space="0" w:color="auto"/>
              <w:right w:val="single" w:sz="12" w:space="0" w:color="auto"/>
            </w:tcBorders>
            <w:shd w:val="clear" w:color="auto" w:fill="auto"/>
            <w:noWrap/>
          </w:tcPr>
          <w:p w:rsidR="00071DDA" w:rsidRPr="00071DDA" w:rsidRDefault="00071DDA" w:rsidP="00071DDA">
            <w:pPr>
              <w:spacing w:after="0"/>
              <w:jc w:val="center"/>
              <w:rPr>
                <w:sz w:val="20"/>
              </w:rPr>
            </w:pPr>
            <w:r w:rsidRPr="00071DDA">
              <w:rPr>
                <w:sz w:val="20"/>
              </w:rPr>
              <w:t>171</w:t>
            </w:r>
            <w:r>
              <w:rPr>
                <w:sz w:val="20"/>
              </w:rPr>
              <w:t>.</w:t>
            </w:r>
            <w:r w:rsidRPr="00071DDA">
              <w:rPr>
                <w:sz w:val="20"/>
              </w:rPr>
              <w:t>4</w:t>
            </w:r>
          </w:p>
        </w:tc>
      </w:tr>
    </w:tbl>
    <w:p w:rsidR="0004774B" w:rsidRDefault="0020661B">
      <w:pPr>
        <w:spacing w:after="160" w:line="259" w:lineRule="auto"/>
        <w:rPr>
          <w:sz w:val="20"/>
          <w:lang w:val="en-GB"/>
        </w:rPr>
      </w:pPr>
      <w:r>
        <w:rPr>
          <w:sz w:val="20"/>
          <w:lang w:val="en-GB"/>
        </w:rPr>
        <w:t>*: 200ng DNA were used for the subsequent conversion.</w:t>
      </w:r>
    </w:p>
    <w:p w:rsidR="00CC0487" w:rsidRPr="008D520F" w:rsidRDefault="00CC0487">
      <w:pPr>
        <w:spacing w:after="160" w:line="259" w:lineRule="auto"/>
        <w:rPr>
          <w:sz w:val="20"/>
          <w:lang w:val="en-GB"/>
        </w:rPr>
      </w:pPr>
      <w:r w:rsidRPr="008D520F">
        <w:rPr>
          <w:sz w:val="20"/>
          <w:lang w:val="en-GB"/>
        </w:rPr>
        <w:br w:type="page"/>
      </w:r>
    </w:p>
    <w:p w:rsidR="008D520F" w:rsidRPr="008D520F" w:rsidRDefault="008D520F" w:rsidP="008D520F">
      <w:pPr>
        <w:spacing w:after="160" w:line="259" w:lineRule="auto"/>
        <w:rPr>
          <w:sz w:val="20"/>
          <w:lang w:val="en-GB"/>
        </w:rPr>
      </w:pPr>
      <w:r w:rsidRPr="008D520F">
        <w:rPr>
          <w:sz w:val="20"/>
          <w:lang w:val="en-GB"/>
        </w:rPr>
        <w:lastRenderedPageBreak/>
        <w:t xml:space="preserve">Table </w:t>
      </w:r>
      <w:r w:rsidR="00EC3C15">
        <w:rPr>
          <w:sz w:val="20"/>
          <w:lang w:val="en-GB"/>
        </w:rPr>
        <w:t>S</w:t>
      </w:r>
      <w:r w:rsidR="0092710A">
        <w:rPr>
          <w:sz w:val="20"/>
          <w:lang w:val="en-GB"/>
        </w:rPr>
        <w:t>3</w:t>
      </w:r>
      <w:r w:rsidRPr="008D520F">
        <w:rPr>
          <w:sz w:val="20"/>
          <w:lang w:val="en-GB"/>
        </w:rPr>
        <w:t>: Library preparation steps and DNA amounts in blood samples</w:t>
      </w:r>
      <w:r>
        <w:rPr>
          <w:sz w:val="20"/>
          <w:lang w:val="en-GB"/>
        </w:rPr>
        <w:t xml:space="preserve">, </w:t>
      </w:r>
      <w:r w:rsidR="00875005">
        <w:rPr>
          <w:sz w:val="20"/>
          <w:lang w:val="en-GB"/>
        </w:rPr>
        <w:t>replication cohort</w:t>
      </w:r>
      <w:r>
        <w:rPr>
          <w:sz w:val="20"/>
          <w:lang w:val="en-GB"/>
        </w:rPr>
        <w:t>.</w:t>
      </w:r>
    </w:p>
    <w:tbl>
      <w:tblPr>
        <w:tblW w:w="13325" w:type="dxa"/>
        <w:tblInd w:w="70" w:type="dxa"/>
        <w:tblCellMar>
          <w:left w:w="70" w:type="dxa"/>
          <w:right w:w="70" w:type="dxa"/>
        </w:tblCellMar>
        <w:tblLook w:val="04A0" w:firstRow="1" w:lastRow="0" w:firstColumn="1" w:lastColumn="0" w:noHBand="0" w:noVBand="1"/>
      </w:tblPr>
      <w:tblGrid>
        <w:gridCol w:w="820"/>
        <w:gridCol w:w="1935"/>
        <w:gridCol w:w="833"/>
        <w:gridCol w:w="1484"/>
        <w:gridCol w:w="1701"/>
        <w:gridCol w:w="1701"/>
        <w:gridCol w:w="1817"/>
        <w:gridCol w:w="624"/>
        <w:gridCol w:w="1418"/>
        <w:gridCol w:w="992"/>
      </w:tblGrid>
      <w:tr w:rsidR="008D520F" w:rsidRPr="008D520F" w:rsidTr="003277FB">
        <w:trPr>
          <w:trHeight w:val="1215"/>
        </w:trPr>
        <w:tc>
          <w:tcPr>
            <w:tcW w:w="851" w:type="dxa"/>
            <w:tcBorders>
              <w:top w:val="single" w:sz="12" w:space="0" w:color="auto"/>
              <w:left w:val="single" w:sz="12" w:space="0" w:color="auto"/>
              <w:bottom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Sample ID</w:t>
            </w:r>
          </w:p>
        </w:tc>
        <w:tc>
          <w:tcPr>
            <w:tcW w:w="1935"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DNA concentration after extraction (ng/µl)</w:t>
            </w:r>
          </w:p>
        </w:tc>
        <w:tc>
          <w:tcPr>
            <w:tcW w:w="833" w:type="dxa"/>
            <w:tcBorders>
              <w:top w:val="single" w:sz="12" w:space="0" w:color="auto"/>
              <w:left w:val="nil"/>
              <w:bottom w:val="single" w:sz="12" w:space="0" w:color="auto"/>
              <w:right w:val="single" w:sz="4" w:space="0" w:color="auto"/>
            </w:tcBorders>
            <w:shd w:val="clear" w:color="auto" w:fill="auto"/>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Volume (µl)</w:t>
            </w:r>
          </w:p>
        </w:tc>
        <w:tc>
          <w:tcPr>
            <w:tcW w:w="1484" w:type="dxa"/>
            <w:tcBorders>
              <w:top w:val="single" w:sz="12" w:space="0" w:color="auto"/>
              <w:left w:val="nil"/>
              <w:bottom w:val="single" w:sz="12" w:space="0" w:color="auto"/>
              <w:right w:val="nil"/>
            </w:tcBorders>
            <w:shd w:val="clear" w:color="auto" w:fill="auto"/>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Total DNA pre-conversion (ng)</w:t>
            </w:r>
          </w:p>
        </w:tc>
        <w:tc>
          <w:tcPr>
            <w:tcW w:w="1701" w:type="dxa"/>
            <w:tcBorders>
              <w:top w:val="single" w:sz="12" w:space="0" w:color="auto"/>
              <w:left w:val="single" w:sz="8" w:space="0" w:color="auto"/>
              <w:bottom w:val="single" w:sz="12" w:space="0" w:color="auto"/>
              <w:right w:val="single" w:sz="4" w:space="0" w:color="auto"/>
            </w:tcBorders>
            <w:shd w:val="clear" w:color="auto" w:fill="auto"/>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methylated pUC19 DNA (µl)</w:t>
            </w:r>
          </w:p>
        </w:tc>
        <w:tc>
          <w:tcPr>
            <w:tcW w:w="1701" w:type="dxa"/>
            <w:tcBorders>
              <w:top w:val="single" w:sz="12" w:space="0" w:color="auto"/>
              <w:left w:val="nil"/>
              <w:bottom w:val="single" w:sz="12" w:space="0" w:color="auto"/>
              <w:right w:val="single" w:sz="8" w:space="0" w:color="auto"/>
            </w:tcBorders>
            <w:shd w:val="clear" w:color="auto" w:fill="auto"/>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unmethylated lambda DNA (µl)</w:t>
            </w:r>
          </w:p>
        </w:tc>
        <w:tc>
          <w:tcPr>
            <w:tcW w:w="1817" w:type="dxa"/>
            <w:tcBorders>
              <w:top w:val="single" w:sz="12" w:space="0" w:color="auto"/>
              <w:left w:val="nil"/>
              <w:bottom w:val="single" w:sz="12" w:space="0" w:color="auto"/>
              <w:right w:val="single" w:sz="8" w:space="0" w:color="auto"/>
            </w:tcBorders>
            <w:shd w:val="clear" w:color="auto" w:fill="auto"/>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Conversion Kit</w:t>
            </w:r>
          </w:p>
        </w:tc>
        <w:tc>
          <w:tcPr>
            <w:tcW w:w="593" w:type="dxa"/>
            <w:tcBorders>
              <w:top w:val="single" w:sz="12" w:space="0" w:color="auto"/>
              <w:left w:val="nil"/>
              <w:bottom w:val="single" w:sz="12" w:space="0" w:color="auto"/>
              <w:right w:val="single" w:sz="8" w:space="0" w:color="auto"/>
            </w:tcBorders>
            <w:shd w:val="clear" w:color="auto" w:fill="auto"/>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PCR cycles</w:t>
            </w:r>
          </w:p>
        </w:tc>
        <w:tc>
          <w:tcPr>
            <w:tcW w:w="1418" w:type="dxa"/>
            <w:tcBorders>
              <w:top w:val="single" w:sz="12" w:space="0" w:color="auto"/>
              <w:left w:val="nil"/>
              <w:bottom w:val="single" w:sz="12" w:space="0" w:color="auto"/>
              <w:right w:val="nil"/>
            </w:tcBorders>
            <w:shd w:val="clear" w:color="auto" w:fill="auto"/>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Library concentration (ng/µl)</w:t>
            </w:r>
          </w:p>
        </w:tc>
        <w:tc>
          <w:tcPr>
            <w:tcW w:w="992" w:type="dxa"/>
            <w:tcBorders>
              <w:top w:val="single" w:sz="12" w:space="0" w:color="auto"/>
              <w:left w:val="single" w:sz="8" w:space="0" w:color="auto"/>
              <w:bottom w:val="single" w:sz="12" w:space="0" w:color="auto"/>
              <w:right w:val="single" w:sz="12" w:space="0" w:color="auto"/>
            </w:tcBorders>
            <w:shd w:val="clear" w:color="auto" w:fill="auto"/>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Total DNA (ng)</w:t>
            </w:r>
          </w:p>
        </w:tc>
      </w:tr>
      <w:tr w:rsidR="008D520F" w:rsidRPr="008D520F" w:rsidTr="003277FB">
        <w:trPr>
          <w:trHeight w:val="257"/>
        </w:trPr>
        <w:tc>
          <w:tcPr>
            <w:tcW w:w="851" w:type="dxa"/>
            <w:vMerge w:val="restart"/>
            <w:tcBorders>
              <w:top w:val="single" w:sz="12" w:space="0" w:color="auto"/>
              <w:left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K19</w:t>
            </w:r>
          </w:p>
        </w:tc>
        <w:tc>
          <w:tcPr>
            <w:tcW w:w="1935" w:type="dxa"/>
            <w:vMerge w:val="restart"/>
            <w:tcBorders>
              <w:top w:val="single" w:sz="12" w:space="0" w:color="auto"/>
              <w:left w:val="single" w:sz="4"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1.18</w:t>
            </w:r>
          </w:p>
        </w:tc>
        <w:tc>
          <w:tcPr>
            <w:tcW w:w="833" w:type="dxa"/>
            <w:vMerge w:val="restart"/>
            <w:tcBorders>
              <w:top w:val="single" w:sz="12" w:space="0" w:color="auto"/>
              <w:left w:val="nil"/>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80</w:t>
            </w:r>
          </w:p>
        </w:tc>
        <w:tc>
          <w:tcPr>
            <w:tcW w:w="1484" w:type="dxa"/>
            <w:vMerge w:val="restart"/>
            <w:tcBorders>
              <w:top w:val="single" w:sz="12" w:space="0" w:color="auto"/>
              <w:left w:val="nil"/>
              <w:right w:val="nil"/>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94.4</w:t>
            </w:r>
          </w:p>
        </w:tc>
        <w:tc>
          <w:tcPr>
            <w:tcW w:w="1701" w:type="dxa"/>
            <w:vMerge w:val="restart"/>
            <w:tcBorders>
              <w:top w:val="single" w:sz="12" w:space="0" w:color="auto"/>
              <w:left w:val="single" w:sz="8"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4.8</w:t>
            </w:r>
          </w:p>
        </w:tc>
        <w:tc>
          <w:tcPr>
            <w:tcW w:w="1701" w:type="dxa"/>
            <w:vMerge w:val="restart"/>
            <w:tcBorders>
              <w:top w:val="single" w:sz="12" w:space="0" w:color="auto"/>
              <w:left w:val="nil"/>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4.8</w:t>
            </w:r>
          </w:p>
        </w:tc>
        <w:tc>
          <w:tcPr>
            <w:tcW w:w="1817" w:type="dxa"/>
            <w:tcBorders>
              <w:top w:val="single" w:sz="12" w:space="0" w:color="auto"/>
              <w:left w:val="nil"/>
              <w:bottom w:val="single" w:sz="4"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Epitect Bisulfite</w:t>
            </w:r>
          </w:p>
        </w:tc>
        <w:tc>
          <w:tcPr>
            <w:tcW w:w="593" w:type="dxa"/>
            <w:tcBorders>
              <w:top w:val="single" w:sz="12" w:space="0" w:color="auto"/>
              <w:left w:val="nil"/>
              <w:bottom w:val="single" w:sz="4"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6</w:t>
            </w:r>
          </w:p>
        </w:tc>
        <w:tc>
          <w:tcPr>
            <w:tcW w:w="1418" w:type="dxa"/>
            <w:tcBorders>
              <w:top w:val="single" w:sz="12" w:space="0" w:color="auto"/>
              <w:left w:val="nil"/>
              <w:bottom w:val="single" w:sz="4"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2.50</w:t>
            </w:r>
          </w:p>
        </w:tc>
        <w:tc>
          <w:tcPr>
            <w:tcW w:w="992" w:type="dxa"/>
            <w:tcBorders>
              <w:top w:val="single" w:sz="12" w:space="0" w:color="auto"/>
              <w:left w:val="single" w:sz="8" w:space="0" w:color="auto"/>
              <w:bottom w:val="single" w:sz="4" w:space="0" w:color="auto"/>
              <w:right w:val="single" w:sz="12"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50.0</w:t>
            </w:r>
          </w:p>
        </w:tc>
      </w:tr>
      <w:tr w:rsidR="008D520F" w:rsidRPr="008D520F" w:rsidTr="003277FB">
        <w:trPr>
          <w:trHeight w:val="256"/>
        </w:trPr>
        <w:tc>
          <w:tcPr>
            <w:tcW w:w="851" w:type="dxa"/>
            <w:vMerge/>
            <w:tcBorders>
              <w:left w:val="single" w:sz="12" w:space="0" w:color="auto"/>
              <w:bottom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p>
        </w:tc>
        <w:tc>
          <w:tcPr>
            <w:tcW w:w="1935" w:type="dxa"/>
            <w:vMerge/>
            <w:tcBorders>
              <w:left w:val="single" w:sz="4" w:space="0" w:color="auto"/>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p>
        </w:tc>
        <w:tc>
          <w:tcPr>
            <w:tcW w:w="833" w:type="dxa"/>
            <w:vMerge/>
            <w:tcBorders>
              <w:left w:val="nil"/>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p>
        </w:tc>
        <w:tc>
          <w:tcPr>
            <w:tcW w:w="1484" w:type="dxa"/>
            <w:vMerge/>
            <w:tcBorders>
              <w:left w:val="nil"/>
              <w:bottom w:val="single" w:sz="12" w:space="0" w:color="auto"/>
              <w:right w:val="nil"/>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p>
        </w:tc>
        <w:tc>
          <w:tcPr>
            <w:tcW w:w="1701" w:type="dxa"/>
            <w:vMerge/>
            <w:tcBorders>
              <w:left w:val="single" w:sz="8" w:space="0" w:color="auto"/>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p>
        </w:tc>
        <w:tc>
          <w:tcPr>
            <w:tcW w:w="1701" w:type="dxa"/>
            <w:vMerge/>
            <w:tcBorders>
              <w:left w:val="nil"/>
              <w:bottom w:val="single" w:sz="12" w:space="0" w:color="auto"/>
              <w:right w:val="single" w:sz="8"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p>
        </w:tc>
        <w:tc>
          <w:tcPr>
            <w:tcW w:w="1817" w:type="dxa"/>
            <w:tcBorders>
              <w:top w:val="nil"/>
              <w:left w:val="nil"/>
              <w:bottom w:val="single" w:sz="12" w:space="0" w:color="auto"/>
              <w:right w:val="single" w:sz="8"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NEB EM-Seq</w:t>
            </w:r>
          </w:p>
        </w:tc>
        <w:tc>
          <w:tcPr>
            <w:tcW w:w="593" w:type="dxa"/>
            <w:tcBorders>
              <w:top w:val="single" w:sz="4" w:space="0" w:color="auto"/>
              <w:left w:val="nil"/>
              <w:bottom w:val="single" w:sz="12" w:space="0" w:color="auto"/>
              <w:right w:val="single" w:sz="8"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6</w:t>
            </w:r>
          </w:p>
        </w:tc>
        <w:tc>
          <w:tcPr>
            <w:tcW w:w="1418" w:type="dxa"/>
            <w:tcBorders>
              <w:left w:val="nil"/>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2.58</w:t>
            </w:r>
          </w:p>
        </w:tc>
        <w:tc>
          <w:tcPr>
            <w:tcW w:w="992" w:type="dxa"/>
            <w:tcBorders>
              <w:left w:val="single" w:sz="8" w:space="0" w:color="auto"/>
              <w:bottom w:val="single" w:sz="12" w:space="0" w:color="auto"/>
              <w:right w:val="single" w:sz="12"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51.6</w:t>
            </w:r>
          </w:p>
        </w:tc>
      </w:tr>
      <w:tr w:rsidR="008D520F" w:rsidRPr="008D520F" w:rsidTr="003277FB">
        <w:trPr>
          <w:trHeight w:val="257"/>
        </w:trPr>
        <w:tc>
          <w:tcPr>
            <w:tcW w:w="851" w:type="dxa"/>
            <w:vMerge w:val="restart"/>
            <w:tcBorders>
              <w:top w:val="single" w:sz="12" w:space="0" w:color="auto"/>
              <w:left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K20</w:t>
            </w:r>
          </w:p>
        </w:tc>
        <w:tc>
          <w:tcPr>
            <w:tcW w:w="1935" w:type="dxa"/>
            <w:vMerge w:val="restart"/>
            <w:tcBorders>
              <w:top w:val="single" w:sz="12" w:space="0" w:color="auto"/>
              <w:left w:val="single" w:sz="4"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0.235</w:t>
            </w:r>
          </w:p>
        </w:tc>
        <w:tc>
          <w:tcPr>
            <w:tcW w:w="833" w:type="dxa"/>
            <w:vMerge w:val="restart"/>
            <w:tcBorders>
              <w:top w:val="single" w:sz="12" w:space="0" w:color="auto"/>
              <w:left w:val="nil"/>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80</w:t>
            </w:r>
          </w:p>
        </w:tc>
        <w:tc>
          <w:tcPr>
            <w:tcW w:w="1484" w:type="dxa"/>
            <w:vMerge w:val="restart"/>
            <w:tcBorders>
              <w:top w:val="single" w:sz="12" w:space="0" w:color="auto"/>
              <w:left w:val="nil"/>
              <w:right w:val="nil"/>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18.8</w:t>
            </w:r>
          </w:p>
        </w:tc>
        <w:tc>
          <w:tcPr>
            <w:tcW w:w="1701" w:type="dxa"/>
            <w:vMerge w:val="restart"/>
            <w:tcBorders>
              <w:top w:val="single" w:sz="12" w:space="0" w:color="auto"/>
              <w:left w:val="single" w:sz="8"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1.0</w:t>
            </w:r>
          </w:p>
        </w:tc>
        <w:tc>
          <w:tcPr>
            <w:tcW w:w="1701" w:type="dxa"/>
            <w:vMerge w:val="restart"/>
            <w:tcBorders>
              <w:top w:val="single" w:sz="12" w:space="0" w:color="auto"/>
              <w:left w:val="nil"/>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1.0</w:t>
            </w:r>
          </w:p>
        </w:tc>
        <w:tc>
          <w:tcPr>
            <w:tcW w:w="1817" w:type="dxa"/>
            <w:tcBorders>
              <w:top w:val="single" w:sz="12" w:space="0" w:color="auto"/>
              <w:left w:val="nil"/>
              <w:bottom w:val="single" w:sz="4"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Epitect Bisulfite</w:t>
            </w:r>
          </w:p>
        </w:tc>
        <w:tc>
          <w:tcPr>
            <w:tcW w:w="593" w:type="dxa"/>
            <w:tcBorders>
              <w:top w:val="single" w:sz="12" w:space="0" w:color="auto"/>
              <w:left w:val="nil"/>
              <w:bottom w:val="single" w:sz="4"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8</w:t>
            </w:r>
          </w:p>
        </w:tc>
        <w:tc>
          <w:tcPr>
            <w:tcW w:w="1418" w:type="dxa"/>
            <w:tcBorders>
              <w:top w:val="single" w:sz="12" w:space="0" w:color="auto"/>
              <w:left w:val="nil"/>
              <w:bottom w:val="single" w:sz="4"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1.99</w:t>
            </w:r>
          </w:p>
        </w:tc>
        <w:tc>
          <w:tcPr>
            <w:tcW w:w="992" w:type="dxa"/>
            <w:tcBorders>
              <w:top w:val="single" w:sz="12" w:space="0" w:color="auto"/>
              <w:left w:val="single" w:sz="8" w:space="0" w:color="auto"/>
              <w:bottom w:val="single" w:sz="4" w:space="0" w:color="auto"/>
              <w:right w:val="single" w:sz="12"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39.8</w:t>
            </w:r>
          </w:p>
        </w:tc>
      </w:tr>
      <w:tr w:rsidR="008D520F" w:rsidRPr="008D520F" w:rsidTr="003277FB">
        <w:trPr>
          <w:trHeight w:val="256"/>
        </w:trPr>
        <w:tc>
          <w:tcPr>
            <w:tcW w:w="851" w:type="dxa"/>
            <w:vMerge/>
            <w:tcBorders>
              <w:left w:val="single" w:sz="12" w:space="0" w:color="auto"/>
              <w:bottom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p>
        </w:tc>
        <w:tc>
          <w:tcPr>
            <w:tcW w:w="1935" w:type="dxa"/>
            <w:vMerge/>
            <w:tcBorders>
              <w:left w:val="single" w:sz="4" w:space="0" w:color="auto"/>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p>
        </w:tc>
        <w:tc>
          <w:tcPr>
            <w:tcW w:w="833" w:type="dxa"/>
            <w:vMerge/>
            <w:tcBorders>
              <w:left w:val="nil"/>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p>
        </w:tc>
        <w:tc>
          <w:tcPr>
            <w:tcW w:w="1484" w:type="dxa"/>
            <w:vMerge/>
            <w:tcBorders>
              <w:left w:val="nil"/>
              <w:bottom w:val="single" w:sz="12" w:space="0" w:color="auto"/>
              <w:right w:val="nil"/>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p>
        </w:tc>
        <w:tc>
          <w:tcPr>
            <w:tcW w:w="1701" w:type="dxa"/>
            <w:vMerge/>
            <w:tcBorders>
              <w:left w:val="single" w:sz="8" w:space="0" w:color="auto"/>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p>
        </w:tc>
        <w:tc>
          <w:tcPr>
            <w:tcW w:w="1701" w:type="dxa"/>
            <w:vMerge/>
            <w:tcBorders>
              <w:left w:val="nil"/>
              <w:bottom w:val="single" w:sz="12" w:space="0" w:color="auto"/>
              <w:right w:val="single" w:sz="8"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p>
        </w:tc>
        <w:tc>
          <w:tcPr>
            <w:tcW w:w="1817" w:type="dxa"/>
            <w:tcBorders>
              <w:top w:val="nil"/>
              <w:left w:val="nil"/>
              <w:bottom w:val="single" w:sz="12" w:space="0" w:color="auto"/>
              <w:right w:val="single" w:sz="8"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NEB EM-Seq</w:t>
            </w:r>
          </w:p>
        </w:tc>
        <w:tc>
          <w:tcPr>
            <w:tcW w:w="593" w:type="dxa"/>
            <w:tcBorders>
              <w:top w:val="single" w:sz="4" w:space="0" w:color="auto"/>
              <w:left w:val="nil"/>
              <w:bottom w:val="single" w:sz="12" w:space="0" w:color="auto"/>
              <w:right w:val="single" w:sz="8"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8</w:t>
            </w:r>
          </w:p>
        </w:tc>
        <w:tc>
          <w:tcPr>
            <w:tcW w:w="1418" w:type="dxa"/>
            <w:tcBorders>
              <w:left w:val="nil"/>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1.57</w:t>
            </w:r>
          </w:p>
        </w:tc>
        <w:tc>
          <w:tcPr>
            <w:tcW w:w="992" w:type="dxa"/>
            <w:tcBorders>
              <w:left w:val="single" w:sz="8" w:space="0" w:color="auto"/>
              <w:bottom w:val="single" w:sz="12" w:space="0" w:color="auto"/>
              <w:right w:val="single" w:sz="12"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31.4</w:t>
            </w:r>
          </w:p>
        </w:tc>
      </w:tr>
      <w:tr w:rsidR="008D520F" w:rsidRPr="008D520F" w:rsidTr="003277FB">
        <w:trPr>
          <w:trHeight w:val="257"/>
        </w:trPr>
        <w:tc>
          <w:tcPr>
            <w:tcW w:w="851" w:type="dxa"/>
            <w:vMerge w:val="restart"/>
            <w:tcBorders>
              <w:top w:val="single" w:sz="12" w:space="0" w:color="auto"/>
              <w:left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K21</w:t>
            </w:r>
          </w:p>
        </w:tc>
        <w:tc>
          <w:tcPr>
            <w:tcW w:w="1935" w:type="dxa"/>
            <w:vMerge w:val="restart"/>
            <w:tcBorders>
              <w:top w:val="single" w:sz="12" w:space="0" w:color="auto"/>
              <w:left w:val="single" w:sz="4"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0.962</w:t>
            </w:r>
          </w:p>
        </w:tc>
        <w:tc>
          <w:tcPr>
            <w:tcW w:w="833" w:type="dxa"/>
            <w:vMerge w:val="restart"/>
            <w:tcBorders>
              <w:top w:val="single" w:sz="12" w:space="0" w:color="auto"/>
              <w:left w:val="nil"/>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80</w:t>
            </w:r>
          </w:p>
        </w:tc>
        <w:tc>
          <w:tcPr>
            <w:tcW w:w="1484" w:type="dxa"/>
            <w:vMerge w:val="restart"/>
            <w:tcBorders>
              <w:top w:val="single" w:sz="12" w:space="0" w:color="auto"/>
              <w:left w:val="nil"/>
              <w:right w:val="nil"/>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77.0</w:t>
            </w:r>
          </w:p>
        </w:tc>
        <w:tc>
          <w:tcPr>
            <w:tcW w:w="1701" w:type="dxa"/>
            <w:vMerge w:val="restart"/>
            <w:tcBorders>
              <w:top w:val="single" w:sz="12" w:space="0" w:color="auto"/>
              <w:left w:val="single" w:sz="8"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3.8</w:t>
            </w:r>
          </w:p>
        </w:tc>
        <w:tc>
          <w:tcPr>
            <w:tcW w:w="1701" w:type="dxa"/>
            <w:vMerge w:val="restart"/>
            <w:tcBorders>
              <w:top w:val="single" w:sz="12" w:space="0" w:color="auto"/>
              <w:left w:val="nil"/>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3.8</w:t>
            </w:r>
          </w:p>
        </w:tc>
        <w:tc>
          <w:tcPr>
            <w:tcW w:w="1817" w:type="dxa"/>
            <w:tcBorders>
              <w:top w:val="single" w:sz="12" w:space="0" w:color="auto"/>
              <w:left w:val="nil"/>
              <w:bottom w:val="single" w:sz="4"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Epitect Bisulfite</w:t>
            </w:r>
          </w:p>
        </w:tc>
        <w:tc>
          <w:tcPr>
            <w:tcW w:w="593" w:type="dxa"/>
            <w:tcBorders>
              <w:top w:val="single" w:sz="12" w:space="0" w:color="auto"/>
              <w:left w:val="nil"/>
              <w:bottom w:val="single" w:sz="4"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6</w:t>
            </w:r>
          </w:p>
        </w:tc>
        <w:tc>
          <w:tcPr>
            <w:tcW w:w="1418" w:type="dxa"/>
            <w:tcBorders>
              <w:top w:val="single" w:sz="12" w:space="0" w:color="auto"/>
              <w:left w:val="nil"/>
              <w:bottom w:val="single" w:sz="4"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2.00</w:t>
            </w:r>
          </w:p>
        </w:tc>
        <w:tc>
          <w:tcPr>
            <w:tcW w:w="992" w:type="dxa"/>
            <w:tcBorders>
              <w:top w:val="single" w:sz="12" w:space="0" w:color="auto"/>
              <w:left w:val="single" w:sz="8" w:space="0" w:color="auto"/>
              <w:bottom w:val="single" w:sz="4" w:space="0" w:color="auto"/>
              <w:right w:val="single" w:sz="12"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40.0</w:t>
            </w:r>
          </w:p>
        </w:tc>
      </w:tr>
      <w:tr w:rsidR="008D520F" w:rsidRPr="008D520F" w:rsidTr="003277FB">
        <w:trPr>
          <w:trHeight w:val="256"/>
        </w:trPr>
        <w:tc>
          <w:tcPr>
            <w:tcW w:w="851" w:type="dxa"/>
            <w:vMerge/>
            <w:tcBorders>
              <w:left w:val="single" w:sz="12" w:space="0" w:color="auto"/>
              <w:bottom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p>
        </w:tc>
        <w:tc>
          <w:tcPr>
            <w:tcW w:w="1935" w:type="dxa"/>
            <w:vMerge/>
            <w:tcBorders>
              <w:left w:val="single" w:sz="4" w:space="0" w:color="auto"/>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p>
        </w:tc>
        <w:tc>
          <w:tcPr>
            <w:tcW w:w="833" w:type="dxa"/>
            <w:vMerge/>
            <w:tcBorders>
              <w:left w:val="nil"/>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p>
        </w:tc>
        <w:tc>
          <w:tcPr>
            <w:tcW w:w="1484" w:type="dxa"/>
            <w:vMerge/>
            <w:tcBorders>
              <w:left w:val="nil"/>
              <w:bottom w:val="single" w:sz="12" w:space="0" w:color="auto"/>
              <w:right w:val="nil"/>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p>
        </w:tc>
        <w:tc>
          <w:tcPr>
            <w:tcW w:w="1701" w:type="dxa"/>
            <w:vMerge/>
            <w:tcBorders>
              <w:left w:val="single" w:sz="8" w:space="0" w:color="auto"/>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p>
        </w:tc>
        <w:tc>
          <w:tcPr>
            <w:tcW w:w="1701" w:type="dxa"/>
            <w:vMerge/>
            <w:tcBorders>
              <w:left w:val="nil"/>
              <w:bottom w:val="single" w:sz="12" w:space="0" w:color="auto"/>
              <w:right w:val="single" w:sz="8"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p>
        </w:tc>
        <w:tc>
          <w:tcPr>
            <w:tcW w:w="1817" w:type="dxa"/>
            <w:tcBorders>
              <w:top w:val="single" w:sz="4" w:space="0" w:color="auto"/>
              <w:left w:val="nil"/>
              <w:bottom w:val="single" w:sz="12" w:space="0" w:color="auto"/>
              <w:right w:val="single" w:sz="8"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NEB EM-Seq</w:t>
            </w:r>
          </w:p>
        </w:tc>
        <w:tc>
          <w:tcPr>
            <w:tcW w:w="593" w:type="dxa"/>
            <w:tcBorders>
              <w:top w:val="single" w:sz="4" w:space="0" w:color="auto"/>
              <w:left w:val="nil"/>
              <w:bottom w:val="single" w:sz="12" w:space="0" w:color="auto"/>
              <w:right w:val="single" w:sz="8"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6</w:t>
            </w:r>
          </w:p>
        </w:tc>
        <w:tc>
          <w:tcPr>
            <w:tcW w:w="1418" w:type="dxa"/>
            <w:tcBorders>
              <w:left w:val="nil"/>
              <w:bottom w:val="single" w:sz="12" w:space="0" w:color="auto"/>
              <w:right w:val="single" w:sz="4"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1.87</w:t>
            </w:r>
          </w:p>
        </w:tc>
        <w:tc>
          <w:tcPr>
            <w:tcW w:w="992" w:type="dxa"/>
            <w:tcBorders>
              <w:left w:val="single" w:sz="8" w:space="0" w:color="auto"/>
              <w:bottom w:val="single" w:sz="12" w:space="0" w:color="auto"/>
              <w:right w:val="single" w:sz="12" w:space="0" w:color="auto"/>
            </w:tcBorders>
            <w:shd w:val="clear" w:color="auto" w:fill="auto"/>
            <w:noWrap/>
            <w:vAlign w:val="center"/>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37.4</w:t>
            </w:r>
          </w:p>
        </w:tc>
      </w:tr>
      <w:tr w:rsidR="008D520F" w:rsidRPr="008D520F" w:rsidTr="003277FB">
        <w:trPr>
          <w:trHeight w:val="20"/>
        </w:trPr>
        <w:tc>
          <w:tcPr>
            <w:tcW w:w="851" w:type="dxa"/>
            <w:tcBorders>
              <w:top w:val="single" w:sz="12" w:space="0" w:color="auto"/>
              <w:left w:val="single" w:sz="12" w:space="0" w:color="auto"/>
              <w:bottom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P30</w:t>
            </w:r>
          </w:p>
        </w:tc>
        <w:tc>
          <w:tcPr>
            <w:tcW w:w="1935"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2.55</w:t>
            </w:r>
          </w:p>
        </w:tc>
        <w:tc>
          <w:tcPr>
            <w:tcW w:w="833" w:type="dxa"/>
            <w:tcBorders>
              <w:top w:val="single" w:sz="12" w:space="0" w:color="auto"/>
              <w:left w:val="nil"/>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484" w:type="dxa"/>
            <w:tcBorders>
              <w:top w:val="single" w:sz="12" w:space="0" w:color="auto"/>
              <w:left w:val="nil"/>
              <w:bottom w:val="single" w:sz="12" w:space="0" w:color="auto"/>
              <w:right w:val="nil"/>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102.0</w:t>
            </w:r>
          </w:p>
        </w:tc>
        <w:tc>
          <w:tcPr>
            <w:tcW w:w="1701"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5.1</w:t>
            </w:r>
          </w:p>
        </w:tc>
        <w:tc>
          <w:tcPr>
            <w:tcW w:w="1701" w:type="dxa"/>
            <w:tcBorders>
              <w:top w:val="single" w:sz="12" w:space="0" w:color="auto"/>
              <w:left w:val="nil"/>
              <w:bottom w:val="single" w:sz="12"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5.1</w:t>
            </w:r>
          </w:p>
        </w:tc>
        <w:tc>
          <w:tcPr>
            <w:tcW w:w="1817" w:type="dxa"/>
            <w:tcBorders>
              <w:top w:val="single" w:sz="12" w:space="0" w:color="auto"/>
              <w:left w:val="nil"/>
              <w:bottom w:val="single" w:sz="12"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NEB EM-Seq</w:t>
            </w:r>
          </w:p>
        </w:tc>
        <w:tc>
          <w:tcPr>
            <w:tcW w:w="593" w:type="dxa"/>
            <w:tcBorders>
              <w:top w:val="single" w:sz="12" w:space="0" w:color="auto"/>
              <w:left w:val="nil"/>
              <w:bottom w:val="single" w:sz="12"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5</w:t>
            </w:r>
          </w:p>
        </w:tc>
        <w:tc>
          <w:tcPr>
            <w:tcW w:w="1418" w:type="dxa"/>
            <w:tcBorders>
              <w:top w:val="single" w:sz="12" w:space="0" w:color="auto"/>
              <w:left w:val="nil"/>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3.27</w:t>
            </w:r>
          </w:p>
        </w:tc>
        <w:tc>
          <w:tcPr>
            <w:tcW w:w="992" w:type="dxa"/>
            <w:tcBorders>
              <w:top w:val="single" w:sz="12" w:space="0" w:color="auto"/>
              <w:left w:val="single" w:sz="8" w:space="0" w:color="auto"/>
              <w:bottom w:val="single" w:sz="12" w:space="0" w:color="auto"/>
              <w:right w:val="single" w:sz="12"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65.4</w:t>
            </w:r>
          </w:p>
        </w:tc>
      </w:tr>
      <w:tr w:rsidR="008D520F" w:rsidRPr="008D520F" w:rsidTr="003277FB">
        <w:trPr>
          <w:trHeight w:val="20"/>
        </w:trPr>
        <w:tc>
          <w:tcPr>
            <w:tcW w:w="851" w:type="dxa"/>
            <w:tcBorders>
              <w:top w:val="single" w:sz="12" w:space="0" w:color="auto"/>
              <w:left w:val="single" w:sz="12" w:space="0" w:color="auto"/>
              <w:bottom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P31</w:t>
            </w:r>
          </w:p>
        </w:tc>
        <w:tc>
          <w:tcPr>
            <w:tcW w:w="1935"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0.259</w:t>
            </w:r>
          </w:p>
        </w:tc>
        <w:tc>
          <w:tcPr>
            <w:tcW w:w="833" w:type="dxa"/>
            <w:tcBorders>
              <w:top w:val="single" w:sz="12" w:space="0" w:color="auto"/>
              <w:left w:val="nil"/>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484" w:type="dxa"/>
            <w:tcBorders>
              <w:top w:val="single" w:sz="12" w:space="0" w:color="auto"/>
              <w:left w:val="nil"/>
              <w:bottom w:val="single" w:sz="12" w:space="0" w:color="auto"/>
              <w:right w:val="nil"/>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10.4</w:t>
            </w:r>
          </w:p>
        </w:tc>
        <w:tc>
          <w:tcPr>
            <w:tcW w:w="1701"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0.5</w:t>
            </w:r>
          </w:p>
        </w:tc>
        <w:tc>
          <w:tcPr>
            <w:tcW w:w="1701" w:type="dxa"/>
            <w:tcBorders>
              <w:top w:val="single" w:sz="12" w:space="0" w:color="auto"/>
              <w:left w:val="nil"/>
              <w:bottom w:val="single" w:sz="12"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0.5</w:t>
            </w:r>
          </w:p>
        </w:tc>
        <w:tc>
          <w:tcPr>
            <w:tcW w:w="1817" w:type="dxa"/>
            <w:tcBorders>
              <w:top w:val="single" w:sz="12" w:space="0" w:color="auto"/>
              <w:left w:val="nil"/>
              <w:bottom w:val="single" w:sz="12"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NEB EM-Seq</w:t>
            </w:r>
          </w:p>
        </w:tc>
        <w:tc>
          <w:tcPr>
            <w:tcW w:w="593" w:type="dxa"/>
            <w:tcBorders>
              <w:top w:val="single" w:sz="12" w:space="0" w:color="auto"/>
              <w:left w:val="nil"/>
              <w:bottom w:val="single" w:sz="12"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8</w:t>
            </w:r>
          </w:p>
        </w:tc>
        <w:tc>
          <w:tcPr>
            <w:tcW w:w="1418" w:type="dxa"/>
            <w:tcBorders>
              <w:top w:val="single" w:sz="12" w:space="0" w:color="auto"/>
              <w:left w:val="nil"/>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0.87</w:t>
            </w:r>
          </w:p>
        </w:tc>
        <w:tc>
          <w:tcPr>
            <w:tcW w:w="992" w:type="dxa"/>
            <w:tcBorders>
              <w:top w:val="single" w:sz="12" w:space="0" w:color="auto"/>
              <w:left w:val="single" w:sz="8" w:space="0" w:color="auto"/>
              <w:bottom w:val="single" w:sz="12" w:space="0" w:color="auto"/>
              <w:right w:val="single" w:sz="12"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17.5</w:t>
            </w:r>
          </w:p>
        </w:tc>
      </w:tr>
      <w:tr w:rsidR="008D520F" w:rsidRPr="008D520F" w:rsidTr="00211684">
        <w:trPr>
          <w:trHeight w:val="20"/>
        </w:trPr>
        <w:tc>
          <w:tcPr>
            <w:tcW w:w="851" w:type="dxa"/>
            <w:tcBorders>
              <w:top w:val="single" w:sz="12" w:space="0" w:color="auto"/>
              <w:left w:val="single" w:sz="12" w:space="0" w:color="auto"/>
              <w:bottom w:val="single" w:sz="12" w:space="0" w:color="auto"/>
              <w:right w:val="single" w:sz="4" w:space="0" w:color="auto"/>
            </w:tcBorders>
            <w:vAlign w:val="center"/>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P32</w:t>
            </w:r>
          </w:p>
        </w:tc>
        <w:tc>
          <w:tcPr>
            <w:tcW w:w="1935"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1.13</w:t>
            </w:r>
          </w:p>
        </w:tc>
        <w:tc>
          <w:tcPr>
            <w:tcW w:w="833" w:type="dxa"/>
            <w:tcBorders>
              <w:top w:val="single" w:sz="12" w:space="0" w:color="auto"/>
              <w:left w:val="nil"/>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40</w:t>
            </w:r>
          </w:p>
        </w:tc>
        <w:tc>
          <w:tcPr>
            <w:tcW w:w="1484" w:type="dxa"/>
            <w:tcBorders>
              <w:top w:val="single" w:sz="12" w:space="0" w:color="auto"/>
              <w:left w:val="nil"/>
              <w:bottom w:val="single" w:sz="12" w:space="0" w:color="auto"/>
              <w:right w:val="nil"/>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color w:val="000000"/>
                <w:sz w:val="20"/>
                <w:szCs w:val="20"/>
                <w:lang w:val="en-GB" w:eastAsia="de-DE"/>
              </w:rPr>
            </w:pPr>
            <w:r w:rsidRPr="008D520F">
              <w:rPr>
                <w:rFonts w:ascii="Calibri" w:eastAsia="Times New Roman" w:hAnsi="Calibri" w:cs="Times New Roman"/>
                <w:color w:val="000000"/>
                <w:sz w:val="20"/>
                <w:szCs w:val="20"/>
                <w:lang w:val="en-GB" w:eastAsia="de-DE"/>
              </w:rPr>
              <w:t>45.2</w:t>
            </w:r>
          </w:p>
        </w:tc>
        <w:tc>
          <w:tcPr>
            <w:tcW w:w="1701"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2.3</w:t>
            </w:r>
          </w:p>
        </w:tc>
        <w:tc>
          <w:tcPr>
            <w:tcW w:w="1701" w:type="dxa"/>
            <w:tcBorders>
              <w:top w:val="single" w:sz="12" w:space="0" w:color="auto"/>
              <w:left w:val="nil"/>
              <w:bottom w:val="single" w:sz="12"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2.3</w:t>
            </w:r>
          </w:p>
        </w:tc>
        <w:tc>
          <w:tcPr>
            <w:tcW w:w="1817" w:type="dxa"/>
            <w:tcBorders>
              <w:top w:val="single" w:sz="12" w:space="0" w:color="auto"/>
              <w:left w:val="nil"/>
              <w:bottom w:val="single" w:sz="12"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NEB EM-Seq</w:t>
            </w:r>
          </w:p>
        </w:tc>
        <w:tc>
          <w:tcPr>
            <w:tcW w:w="593" w:type="dxa"/>
            <w:tcBorders>
              <w:top w:val="single" w:sz="12" w:space="0" w:color="auto"/>
              <w:left w:val="nil"/>
              <w:bottom w:val="single" w:sz="12" w:space="0" w:color="auto"/>
              <w:right w:val="single" w:sz="8"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6</w:t>
            </w:r>
          </w:p>
        </w:tc>
        <w:tc>
          <w:tcPr>
            <w:tcW w:w="1418" w:type="dxa"/>
            <w:tcBorders>
              <w:top w:val="single" w:sz="12" w:space="0" w:color="auto"/>
              <w:left w:val="nil"/>
              <w:bottom w:val="single" w:sz="12" w:space="0" w:color="auto"/>
              <w:right w:val="single" w:sz="4"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2.99</w:t>
            </w:r>
          </w:p>
        </w:tc>
        <w:tc>
          <w:tcPr>
            <w:tcW w:w="992" w:type="dxa"/>
            <w:tcBorders>
              <w:top w:val="single" w:sz="12" w:space="0" w:color="auto"/>
              <w:left w:val="single" w:sz="8" w:space="0" w:color="auto"/>
              <w:bottom w:val="single" w:sz="12" w:space="0" w:color="auto"/>
              <w:right w:val="single" w:sz="12" w:space="0" w:color="auto"/>
            </w:tcBorders>
            <w:shd w:val="clear" w:color="auto" w:fill="auto"/>
            <w:noWrap/>
            <w:vAlign w:val="center"/>
            <w:hideMark/>
          </w:tcPr>
          <w:p w:rsidR="008D520F" w:rsidRPr="008D520F" w:rsidRDefault="008D520F" w:rsidP="003277FB">
            <w:pPr>
              <w:spacing w:after="0" w:line="240" w:lineRule="auto"/>
              <w:jc w:val="center"/>
              <w:rPr>
                <w:rFonts w:ascii="Calibri" w:eastAsia="Times New Roman" w:hAnsi="Calibri" w:cs="Times New Roman"/>
                <w:bCs/>
                <w:color w:val="000000"/>
                <w:sz w:val="20"/>
                <w:szCs w:val="20"/>
                <w:lang w:val="en-GB" w:eastAsia="de-DE"/>
              </w:rPr>
            </w:pPr>
            <w:r w:rsidRPr="008D520F">
              <w:rPr>
                <w:rFonts w:ascii="Calibri" w:eastAsia="Times New Roman" w:hAnsi="Calibri" w:cs="Times New Roman"/>
                <w:bCs/>
                <w:color w:val="000000"/>
                <w:sz w:val="20"/>
                <w:szCs w:val="20"/>
                <w:lang w:val="en-GB" w:eastAsia="de-DE"/>
              </w:rPr>
              <w:t>59.8</w:t>
            </w:r>
          </w:p>
        </w:tc>
      </w:tr>
    </w:tbl>
    <w:p w:rsidR="008D520F" w:rsidRPr="008D520F" w:rsidRDefault="008D520F" w:rsidP="008D520F">
      <w:pPr>
        <w:rPr>
          <w:lang w:val="en-GB"/>
        </w:rPr>
      </w:pPr>
    </w:p>
    <w:p w:rsidR="008D520F" w:rsidRPr="008D520F" w:rsidRDefault="008D520F" w:rsidP="008D520F">
      <w:pPr>
        <w:spacing w:after="160" w:line="259" w:lineRule="auto"/>
        <w:rPr>
          <w:lang w:val="en-GB"/>
        </w:rPr>
      </w:pPr>
      <w:r w:rsidRPr="008D520F">
        <w:rPr>
          <w:lang w:val="en-GB"/>
        </w:rPr>
        <w:br w:type="page"/>
      </w:r>
    </w:p>
    <w:p w:rsidR="0004539B" w:rsidRPr="008D520F" w:rsidRDefault="0004539B" w:rsidP="005C5E85">
      <w:pPr>
        <w:rPr>
          <w:sz w:val="20"/>
          <w:lang w:val="en-GB"/>
        </w:rPr>
        <w:sectPr w:rsidR="0004539B" w:rsidRPr="008D520F" w:rsidSect="002C6A24">
          <w:pgSz w:w="15840" w:h="12240" w:orient="landscape"/>
          <w:pgMar w:top="851" w:right="1417" w:bottom="709" w:left="1134" w:header="708" w:footer="708" w:gutter="0"/>
          <w:cols w:space="708"/>
          <w:docGrid w:linePitch="360"/>
        </w:sectPr>
      </w:pPr>
    </w:p>
    <w:p w:rsidR="00165414" w:rsidRPr="008D520F" w:rsidRDefault="00165414" w:rsidP="00F85D17">
      <w:pPr>
        <w:jc w:val="both"/>
        <w:rPr>
          <w:sz w:val="20"/>
          <w:lang w:val="en-GB"/>
        </w:rPr>
      </w:pPr>
      <w:r w:rsidRPr="008D520F">
        <w:rPr>
          <w:sz w:val="20"/>
          <w:lang w:val="en-GB"/>
        </w:rPr>
        <w:lastRenderedPageBreak/>
        <w:t xml:space="preserve">Table </w:t>
      </w:r>
      <w:r w:rsidR="00EC3C15">
        <w:rPr>
          <w:sz w:val="20"/>
          <w:lang w:val="en-GB"/>
        </w:rPr>
        <w:t>S</w:t>
      </w:r>
      <w:r w:rsidR="0092710A">
        <w:rPr>
          <w:sz w:val="20"/>
          <w:lang w:val="en-GB"/>
        </w:rPr>
        <w:t>4</w:t>
      </w:r>
      <w:r w:rsidRPr="008D520F">
        <w:rPr>
          <w:sz w:val="20"/>
          <w:lang w:val="en-GB"/>
        </w:rPr>
        <w:t xml:space="preserve">: Reaction composition using PyroMark PCR Master Mix. </w:t>
      </w:r>
      <w:bookmarkEnd w:id="1"/>
      <w:r w:rsidRPr="008D520F">
        <w:rPr>
          <w:sz w:val="20"/>
          <w:lang w:val="en-GB"/>
        </w:rPr>
        <w:t>Reagents, concentrations and volumes per reaction required for the PyroMark PCR are shown.</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A0" w:firstRow="1" w:lastRow="0" w:firstColumn="1" w:lastColumn="0" w:noHBand="0" w:noVBand="0"/>
      </w:tblPr>
      <w:tblGrid>
        <w:gridCol w:w="2759"/>
        <w:gridCol w:w="2200"/>
        <w:gridCol w:w="2260"/>
      </w:tblGrid>
      <w:tr w:rsidR="00165414" w:rsidRPr="008D520F" w:rsidTr="00EF1835">
        <w:trPr>
          <w:trHeight w:hRule="exact" w:val="404"/>
        </w:trPr>
        <w:tc>
          <w:tcPr>
            <w:tcW w:w="0" w:type="auto"/>
            <w:tcBorders>
              <w:bottom w:val="single" w:sz="12" w:space="0" w:color="666666"/>
            </w:tcBorders>
            <w:vAlign w:val="center"/>
          </w:tcPr>
          <w:p w:rsidR="00165414" w:rsidRPr="008D520F" w:rsidRDefault="00165414" w:rsidP="00691622">
            <w:pPr>
              <w:spacing w:after="0"/>
              <w:jc w:val="center"/>
              <w:rPr>
                <w:rFonts w:cs="Calibri"/>
                <w:b/>
                <w:bCs/>
                <w:color w:val="000000"/>
                <w:sz w:val="24"/>
                <w:szCs w:val="24"/>
                <w:lang w:val="en-GB"/>
              </w:rPr>
            </w:pPr>
            <w:r w:rsidRPr="008D520F">
              <w:rPr>
                <w:rFonts w:cs="Calibri"/>
                <w:b/>
                <w:bCs/>
                <w:color w:val="000000"/>
                <w:sz w:val="24"/>
                <w:szCs w:val="24"/>
                <w:lang w:val="en-GB"/>
              </w:rPr>
              <w:t>Reagent</w:t>
            </w:r>
          </w:p>
        </w:tc>
        <w:tc>
          <w:tcPr>
            <w:tcW w:w="0" w:type="auto"/>
            <w:tcBorders>
              <w:bottom w:val="single" w:sz="12" w:space="0" w:color="666666"/>
            </w:tcBorders>
            <w:vAlign w:val="center"/>
          </w:tcPr>
          <w:p w:rsidR="00165414" w:rsidRPr="008D520F" w:rsidRDefault="00165414" w:rsidP="00691622">
            <w:pPr>
              <w:spacing w:after="0"/>
              <w:jc w:val="center"/>
              <w:rPr>
                <w:rFonts w:cs="Calibri"/>
                <w:b/>
                <w:bCs/>
                <w:color w:val="000000"/>
                <w:sz w:val="24"/>
                <w:szCs w:val="24"/>
                <w:lang w:val="en-GB"/>
              </w:rPr>
            </w:pPr>
            <w:r w:rsidRPr="008D520F">
              <w:rPr>
                <w:rFonts w:cs="Calibri"/>
                <w:b/>
                <w:bCs/>
                <w:color w:val="000000"/>
                <w:sz w:val="24"/>
                <w:szCs w:val="24"/>
                <w:lang w:val="en-GB"/>
              </w:rPr>
              <w:t>Input concentration</w:t>
            </w:r>
          </w:p>
        </w:tc>
        <w:tc>
          <w:tcPr>
            <w:tcW w:w="0" w:type="auto"/>
            <w:tcBorders>
              <w:bottom w:val="single" w:sz="12" w:space="0" w:color="666666"/>
            </w:tcBorders>
            <w:vAlign w:val="center"/>
          </w:tcPr>
          <w:p w:rsidR="00165414" w:rsidRPr="008D520F" w:rsidRDefault="00165414" w:rsidP="00691622">
            <w:pPr>
              <w:spacing w:after="0"/>
              <w:jc w:val="center"/>
              <w:rPr>
                <w:rFonts w:cs="Calibri"/>
                <w:b/>
                <w:bCs/>
                <w:color w:val="000000"/>
                <w:sz w:val="24"/>
                <w:szCs w:val="24"/>
                <w:lang w:val="en-GB"/>
              </w:rPr>
            </w:pPr>
            <w:r w:rsidRPr="008D520F">
              <w:rPr>
                <w:rFonts w:cs="Calibri"/>
                <w:b/>
                <w:bCs/>
                <w:color w:val="000000"/>
                <w:sz w:val="24"/>
                <w:szCs w:val="24"/>
                <w:lang w:val="en-GB"/>
              </w:rPr>
              <w:t>Volume per reaction</w:t>
            </w:r>
          </w:p>
        </w:tc>
      </w:tr>
      <w:tr w:rsidR="00165414" w:rsidRPr="008D520F" w:rsidTr="00691622">
        <w:trPr>
          <w:trHeight w:val="193"/>
        </w:trPr>
        <w:tc>
          <w:tcPr>
            <w:tcW w:w="0" w:type="auto"/>
            <w:vAlign w:val="center"/>
          </w:tcPr>
          <w:p w:rsidR="00165414" w:rsidRPr="008D520F" w:rsidRDefault="00165414" w:rsidP="00691622">
            <w:pPr>
              <w:spacing w:after="0"/>
              <w:rPr>
                <w:rFonts w:cs="Calibri"/>
                <w:b/>
                <w:bCs/>
                <w:color w:val="000000"/>
                <w:sz w:val="20"/>
                <w:szCs w:val="24"/>
                <w:lang w:val="en-GB"/>
              </w:rPr>
            </w:pPr>
            <w:r w:rsidRPr="008D520F">
              <w:rPr>
                <w:rFonts w:cs="Calibri"/>
                <w:b/>
                <w:bCs/>
                <w:color w:val="000000"/>
                <w:sz w:val="20"/>
                <w:szCs w:val="24"/>
                <w:lang w:val="en-GB"/>
              </w:rPr>
              <w:t>DNA</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6 ng/µl</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5 µl</w:t>
            </w:r>
          </w:p>
        </w:tc>
      </w:tr>
      <w:tr w:rsidR="00165414" w:rsidRPr="008D520F" w:rsidTr="00691622">
        <w:trPr>
          <w:trHeight w:val="193"/>
        </w:trPr>
        <w:tc>
          <w:tcPr>
            <w:tcW w:w="0" w:type="auto"/>
            <w:vAlign w:val="center"/>
          </w:tcPr>
          <w:p w:rsidR="00165414" w:rsidRPr="008D520F" w:rsidRDefault="00165414" w:rsidP="00691622">
            <w:pPr>
              <w:spacing w:after="0"/>
              <w:rPr>
                <w:rFonts w:cs="Calibri"/>
                <w:b/>
                <w:bCs/>
                <w:color w:val="000000"/>
                <w:sz w:val="20"/>
                <w:szCs w:val="24"/>
                <w:lang w:val="en-GB"/>
              </w:rPr>
            </w:pPr>
            <w:r w:rsidRPr="008D520F">
              <w:rPr>
                <w:rFonts w:cs="Calibri"/>
                <w:b/>
                <w:bCs/>
                <w:color w:val="000000"/>
                <w:sz w:val="20"/>
                <w:szCs w:val="24"/>
                <w:lang w:val="en-GB"/>
              </w:rPr>
              <w:t>Controls (10ng/µl)</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2 ng/µl</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3 µl</w:t>
            </w:r>
          </w:p>
        </w:tc>
      </w:tr>
      <w:tr w:rsidR="00165414" w:rsidRPr="008D520F" w:rsidTr="00691622">
        <w:trPr>
          <w:trHeight w:val="193"/>
        </w:trPr>
        <w:tc>
          <w:tcPr>
            <w:tcW w:w="0" w:type="auto"/>
            <w:vAlign w:val="center"/>
          </w:tcPr>
          <w:p w:rsidR="00165414" w:rsidRPr="008D520F" w:rsidRDefault="00165414" w:rsidP="00691622">
            <w:pPr>
              <w:spacing w:after="0"/>
              <w:rPr>
                <w:rFonts w:cs="Calibri"/>
                <w:b/>
                <w:bCs/>
                <w:color w:val="000000"/>
                <w:sz w:val="20"/>
                <w:szCs w:val="24"/>
                <w:lang w:val="en-GB"/>
              </w:rPr>
            </w:pPr>
            <w:r w:rsidRPr="008D520F">
              <w:rPr>
                <w:rFonts w:cs="Calibri"/>
                <w:b/>
                <w:bCs/>
                <w:color w:val="000000"/>
                <w:sz w:val="20"/>
                <w:szCs w:val="24"/>
                <w:lang w:val="en-GB"/>
              </w:rPr>
              <w:t>PyroMark PCR Master mix (2x)</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1x</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7.5 µl</w:t>
            </w:r>
          </w:p>
        </w:tc>
      </w:tr>
      <w:tr w:rsidR="00165414" w:rsidRPr="008D520F" w:rsidTr="00691622">
        <w:trPr>
          <w:trHeight w:val="193"/>
        </w:trPr>
        <w:tc>
          <w:tcPr>
            <w:tcW w:w="0" w:type="auto"/>
            <w:vAlign w:val="center"/>
          </w:tcPr>
          <w:p w:rsidR="00165414" w:rsidRPr="008D520F" w:rsidRDefault="00165414" w:rsidP="00691622">
            <w:pPr>
              <w:spacing w:after="0"/>
              <w:rPr>
                <w:rFonts w:cs="Calibri"/>
                <w:b/>
                <w:bCs/>
                <w:color w:val="000000"/>
                <w:sz w:val="20"/>
                <w:szCs w:val="24"/>
                <w:lang w:val="en-GB"/>
              </w:rPr>
            </w:pPr>
            <w:r w:rsidRPr="008D520F">
              <w:rPr>
                <w:rFonts w:cs="Calibri"/>
                <w:b/>
                <w:bCs/>
                <w:color w:val="000000"/>
                <w:sz w:val="20"/>
                <w:szCs w:val="24"/>
                <w:lang w:val="en-GB"/>
              </w:rPr>
              <w:t>Coral Load concentrate (10x)</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1x</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1.5 µl</w:t>
            </w:r>
          </w:p>
        </w:tc>
      </w:tr>
      <w:tr w:rsidR="00165414" w:rsidRPr="008D520F" w:rsidTr="00691622">
        <w:trPr>
          <w:trHeight w:val="193"/>
        </w:trPr>
        <w:tc>
          <w:tcPr>
            <w:tcW w:w="0" w:type="auto"/>
            <w:vAlign w:val="center"/>
          </w:tcPr>
          <w:p w:rsidR="00165414" w:rsidRPr="008D520F" w:rsidRDefault="00165414" w:rsidP="00691622">
            <w:pPr>
              <w:spacing w:after="0"/>
              <w:rPr>
                <w:rFonts w:cs="Calibri"/>
                <w:b/>
                <w:bCs/>
                <w:color w:val="000000"/>
                <w:sz w:val="20"/>
                <w:szCs w:val="24"/>
                <w:lang w:val="en-GB"/>
              </w:rPr>
            </w:pPr>
            <w:r w:rsidRPr="008D520F">
              <w:rPr>
                <w:rFonts w:cs="Calibri"/>
                <w:b/>
                <w:bCs/>
                <w:color w:val="000000"/>
                <w:sz w:val="20"/>
                <w:szCs w:val="24"/>
                <w:lang w:val="en-GB"/>
              </w:rPr>
              <w:t>Primer forward</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0.2 µM</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0.3 µl</w:t>
            </w:r>
          </w:p>
        </w:tc>
      </w:tr>
      <w:tr w:rsidR="00165414" w:rsidRPr="008D520F" w:rsidTr="00691622">
        <w:trPr>
          <w:trHeight w:val="193"/>
        </w:trPr>
        <w:tc>
          <w:tcPr>
            <w:tcW w:w="0" w:type="auto"/>
            <w:vAlign w:val="center"/>
          </w:tcPr>
          <w:p w:rsidR="00165414" w:rsidRPr="008D520F" w:rsidRDefault="00165414" w:rsidP="00691622">
            <w:pPr>
              <w:spacing w:after="0"/>
              <w:rPr>
                <w:rFonts w:cs="Calibri"/>
                <w:b/>
                <w:bCs/>
                <w:color w:val="000000"/>
                <w:sz w:val="20"/>
                <w:szCs w:val="24"/>
                <w:lang w:val="en-GB"/>
              </w:rPr>
            </w:pPr>
            <w:r w:rsidRPr="008D520F">
              <w:rPr>
                <w:rFonts w:cs="Calibri"/>
                <w:b/>
                <w:bCs/>
                <w:color w:val="000000"/>
                <w:sz w:val="20"/>
                <w:szCs w:val="24"/>
                <w:lang w:val="en-GB"/>
              </w:rPr>
              <w:t>Primer reverse</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0.2 µM</w:t>
            </w: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0.3 µl</w:t>
            </w:r>
          </w:p>
        </w:tc>
      </w:tr>
      <w:tr w:rsidR="00165414" w:rsidRPr="008D520F" w:rsidTr="00691622">
        <w:trPr>
          <w:trHeight w:val="193"/>
        </w:trPr>
        <w:tc>
          <w:tcPr>
            <w:tcW w:w="0" w:type="auto"/>
            <w:vAlign w:val="center"/>
          </w:tcPr>
          <w:p w:rsidR="00165414" w:rsidRPr="008D520F" w:rsidRDefault="00165414" w:rsidP="00691622">
            <w:pPr>
              <w:spacing w:after="0"/>
              <w:rPr>
                <w:rFonts w:cs="Calibri"/>
                <w:b/>
                <w:bCs/>
                <w:color w:val="000000"/>
                <w:sz w:val="20"/>
                <w:szCs w:val="24"/>
                <w:lang w:val="en-GB"/>
              </w:rPr>
            </w:pPr>
            <w:r w:rsidRPr="008D520F">
              <w:rPr>
                <w:rFonts w:cs="Calibri"/>
                <w:b/>
                <w:bCs/>
                <w:color w:val="000000"/>
                <w:sz w:val="20"/>
                <w:szCs w:val="24"/>
                <w:lang w:val="en-GB"/>
              </w:rPr>
              <w:t>ddH</w:t>
            </w:r>
            <w:r w:rsidRPr="008D520F">
              <w:rPr>
                <w:rFonts w:cs="Calibri"/>
                <w:b/>
                <w:bCs/>
                <w:color w:val="000000"/>
                <w:sz w:val="20"/>
                <w:szCs w:val="24"/>
                <w:vertAlign w:val="subscript"/>
                <w:lang w:val="en-GB"/>
              </w:rPr>
              <w:t>2</w:t>
            </w:r>
            <w:r w:rsidRPr="008D520F">
              <w:rPr>
                <w:rFonts w:cs="Calibri"/>
                <w:b/>
                <w:bCs/>
                <w:color w:val="000000"/>
                <w:sz w:val="20"/>
                <w:szCs w:val="24"/>
                <w:lang w:val="en-GB"/>
              </w:rPr>
              <w:t>O</w:t>
            </w:r>
          </w:p>
        </w:tc>
        <w:tc>
          <w:tcPr>
            <w:tcW w:w="0" w:type="auto"/>
            <w:vAlign w:val="center"/>
          </w:tcPr>
          <w:p w:rsidR="00165414" w:rsidRPr="008D520F" w:rsidRDefault="00165414" w:rsidP="00691622">
            <w:pPr>
              <w:spacing w:after="0"/>
              <w:jc w:val="center"/>
              <w:rPr>
                <w:rFonts w:cs="Calibri"/>
                <w:color w:val="000000"/>
                <w:sz w:val="20"/>
                <w:szCs w:val="24"/>
                <w:lang w:val="en-GB"/>
              </w:rPr>
            </w:pPr>
          </w:p>
        </w:tc>
        <w:tc>
          <w:tcPr>
            <w:tcW w:w="0" w:type="auto"/>
            <w:vAlign w:val="center"/>
          </w:tcPr>
          <w:p w:rsidR="00165414" w:rsidRPr="008D520F" w:rsidRDefault="00165414" w:rsidP="00691622">
            <w:pPr>
              <w:spacing w:after="0"/>
              <w:jc w:val="center"/>
              <w:rPr>
                <w:rFonts w:cs="Calibri"/>
                <w:color w:val="000000"/>
                <w:sz w:val="20"/>
                <w:szCs w:val="24"/>
                <w:lang w:val="en-GB"/>
              </w:rPr>
            </w:pPr>
            <w:r w:rsidRPr="008D520F">
              <w:rPr>
                <w:rFonts w:cs="Calibri"/>
                <w:color w:val="000000"/>
                <w:sz w:val="20"/>
                <w:szCs w:val="24"/>
                <w:lang w:val="en-GB"/>
              </w:rPr>
              <w:t>0.4 µl</w:t>
            </w:r>
          </w:p>
        </w:tc>
      </w:tr>
    </w:tbl>
    <w:p w:rsidR="00165414" w:rsidRPr="008D520F" w:rsidRDefault="00165414">
      <w:pPr>
        <w:spacing w:after="160" w:line="259" w:lineRule="auto"/>
        <w:rPr>
          <w:b/>
          <w:u w:val="single"/>
          <w:lang w:val="en-GB"/>
        </w:rPr>
      </w:pPr>
    </w:p>
    <w:p w:rsidR="00165414" w:rsidRPr="008D520F" w:rsidRDefault="00165414">
      <w:pPr>
        <w:spacing w:after="160" w:line="259" w:lineRule="auto"/>
        <w:rPr>
          <w:b/>
          <w:u w:val="single"/>
          <w:lang w:val="en-GB"/>
        </w:rPr>
      </w:pPr>
      <w:r w:rsidRPr="008D520F">
        <w:rPr>
          <w:b/>
          <w:u w:val="single"/>
          <w:lang w:val="en-GB"/>
        </w:rPr>
        <w:br w:type="page"/>
      </w:r>
    </w:p>
    <w:p w:rsidR="00165414" w:rsidRPr="008D520F" w:rsidRDefault="00165414" w:rsidP="00F85D17">
      <w:pPr>
        <w:jc w:val="both"/>
        <w:rPr>
          <w:sz w:val="20"/>
          <w:lang w:val="en-GB"/>
        </w:rPr>
      </w:pPr>
      <w:r w:rsidRPr="008D520F">
        <w:rPr>
          <w:bCs/>
          <w:sz w:val="20"/>
          <w:lang w:val="en-GB"/>
        </w:rPr>
        <w:lastRenderedPageBreak/>
        <w:t xml:space="preserve">Table </w:t>
      </w:r>
      <w:r w:rsidR="00EC3C15">
        <w:rPr>
          <w:bCs/>
          <w:sz w:val="20"/>
          <w:lang w:val="en-GB"/>
        </w:rPr>
        <w:t>S</w:t>
      </w:r>
      <w:r w:rsidR="0092710A">
        <w:rPr>
          <w:bCs/>
          <w:sz w:val="20"/>
          <w:lang w:val="en-GB"/>
        </w:rPr>
        <w:t>5</w:t>
      </w:r>
      <w:r w:rsidRPr="008D520F">
        <w:rPr>
          <w:bCs/>
          <w:sz w:val="20"/>
          <w:lang w:val="en-GB"/>
        </w:rPr>
        <w:t xml:space="preserve">: PCR protocol for PyroMark PCR reaction. </w:t>
      </w:r>
      <w:r w:rsidRPr="008D520F">
        <w:rPr>
          <w:sz w:val="20"/>
          <w:lang w:val="en-GB"/>
        </w:rPr>
        <w:t xml:space="preserve">All PCRs were performed with 45 cycles, annealing temperatures were adjusted according to </w:t>
      </w:r>
      <w:r w:rsidR="00F85D17" w:rsidRPr="008D520F">
        <w:rPr>
          <w:sz w:val="20"/>
          <w:lang w:val="en-GB"/>
        </w:rPr>
        <w:t>the primers used</w:t>
      </w:r>
      <w:r w:rsidR="004E77ED">
        <w:rPr>
          <w:sz w:val="20"/>
          <w:lang w:val="en-GB"/>
        </w:rPr>
        <w:t xml:space="preserve"> (see Table </w:t>
      </w:r>
      <w:r w:rsidR="00EC3C15">
        <w:rPr>
          <w:sz w:val="20"/>
          <w:lang w:val="en-GB"/>
        </w:rPr>
        <w:t>S</w:t>
      </w:r>
      <w:r w:rsidR="00C62F58">
        <w:rPr>
          <w:sz w:val="20"/>
          <w:lang w:val="en-GB"/>
        </w:rPr>
        <w:t>6</w:t>
      </w:r>
      <w:r w:rsidR="004E77ED">
        <w:rPr>
          <w:sz w:val="20"/>
          <w:lang w:val="en-GB"/>
        </w:rPr>
        <w:t>)</w:t>
      </w:r>
      <w:r w:rsidRPr="008D520F">
        <w:rPr>
          <w:sz w:val="20"/>
          <w:lang w:val="en-GB"/>
        </w:rPr>
        <w:t>.</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A0" w:firstRow="1" w:lastRow="0" w:firstColumn="1" w:lastColumn="0" w:noHBand="0" w:noVBand="0"/>
      </w:tblPr>
      <w:tblGrid>
        <w:gridCol w:w="2693"/>
        <w:gridCol w:w="2727"/>
        <w:gridCol w:w="2823"/>
      </w:tblGrid>
      <w:tr w:rsidR="00165414" w:rsidRPr="008D520F" w:rsidTr="00EF1835">
        <w:trPr>
          <w:trHeight w:hRule="exact" w:val="384"/>
        </w:trPr>
        <w:tc>
          <w:tcPr>
            <w:tcW w:w="2693" w:type="dxa"/>
            <w:tcBorders>
              <w:bottom w:val="single" w:sz="12" w:space="0" w:color="666666"/>
            </w:tcBorders>
            <w:vAlign w:val="center"/>
          </w:tcPr>
          <w:p w:rsidR="00165414" w:rsidRPr="008D520F" w:rsidRDefault="00165414" w:rsidP="00EF1835">
            <w:pPr>
              <w:spacing w:after="0"/>
              <w:jc w:val="center"/>
              <w:rPr>
                <w:rFonts w:cs="Calibri"/>
                <w:b/>
                <w:bCs/>
                <w:color w:val="000000"/>
                <w:sz w:val="24"/>
                <w:szCs w:val="24"/>
                <w:lang w:val="en-GB"/>
              </w:rPr>
            </w:pPr>
            <w:r w:rsidRPr="008D520F">
              <w:rPr>
                <w:rFonts w:cs="Calibri"/>
                <w:b/>
                <w:bCs/>
                <w:color w:val="000000"/>
                <w:sz w:val="24"/>
                <w:szCs w:val="24"/>
                <w:lang w:val="en-GB"/>
              </w:rPr>
              <w:t>Step</w:t>
            </w:r>
          </w:p>
        </w:tc>
        <w:tc>
          <w:tcPr>
            <w:tcW w:w="2727" w:type="dxa"/>
            <w:tcBorders>
              <w:bottom w:val="single" w:sz="12" w:space="0" w:color="666666"/>
            </w:tcBorders>
            <w:vAlign w:val="center"/>
          </w:tcPr>
          <w:p w:rsidR="00165414" w:rsidRPr="008D520F" w:rsidRDefault="00165414" w:rsidP="00EF1835">
            <w:pPr>
              <w:spacing w:after="0"/>
              <w:jc w:val="center"/>
              <w:rPr>
                <w:rFonts w:cs="Calibri"/>
                <w:b/>
                <w:bCs/>
                <w:color w:val="000000"/>
                <w:sz w:val="24"/>
                <w:szCs w:val="24"/>
                <w:lang w:val="en-GB"/>
              </w:rPr>
            </w:pPr>
            <w:r w:rsidRPr="008D520F">
              <w:rPr>
                <w:rFonts w:cs="Calibri"/>
                <w:b/>
                <w:bCs/>
                <w:color w:val="000000"/>
                <w:sz w:val="24"/>
                <w:szCs w:val="24"/>
                <w:lang w:val="en-GB"/>
              </w:rPr>
              <w:t>Duration</w:t>
            </w:r>
          </w:p>
        </w:tc>
        <w:tc>
          <w:tcPr>
            <w:tcW w:w="2823" w:type="dxa"/>
            <w:tcBorders>
              <w:bottom w:val="single" w:sz="12" w:space="0" w:color="666666"/>
            </w:tcBorders>
            <w:vAlign w:val="center"/>
          </w:tcPr>
          <w:p w:rsidR="00165414" w:rsidRPr="008D520F" w:rsidRDefault="00171A97" w:rsidP="00171A97">
            <w:pPr>
              <w:spacing w:after="0"/>
              <w:jc w:val="center"/>
              <w:rPr>
                <w:rFonts w:cs="Calibri"/>
                <w:b/>
                <w:bCs/>
                <w:color w:val="000000"/>
                <w:sz w:val="24"/>
                <w:szCs w:val="24"/>
                <w:lang w:val="en-GB"/>
              </w:rPr>
            </w:pPr>
            <w:r>
              <w:rPr>
                <w:rFonts w:cs="Calibri"/>
                <w:b/>
                <w:bCs/>
                <w:color w:val="000000"/>
                <w:sz w:val="24"/>
                <w:szCs w:val="24"/>
                <w:lang w:val="en-GB"/>
              </w:rPr>
              <w:t>Temperature</w:t>
            </w:r>
          </w:p>
        </w:tc>
      </w:tr>
      <w:tr w:rsidR="00165414" w:rsidRPr="008D520F" w:rsidTr="00691622">
        <w:trPr>
          <w:trHeight w:val="193"/>
        </w:trPr>
        <w:tc>
          <w:tcPr>
            <w:tcW w:w="2693" w:type="dxa"/>
            <w:vAlign w:val="center"/>
          </w:tcPr>
          <w:p w:rsidR="00165414" w:rsidRPr="008D520F" w:rsidRDefault="00165414" w:rsidP="00EF1835">
            <w:pPr>
              <w:spacing w:after="0"/>
              <w:rPr>
                <w:rFonts w:cs="Calibri"/>
                <w:b/>
                <w:bCs/>
                <w:color w:val="000000"/>
                <w:sz w:val="20"/>
                <w:szCs w:val="24"/>
                <w:lang w:val="en-GB"/>
              </w:rPr>
            </w:pPr>
            <w:r w:rsidRPr="008D520F">
              <w:rPr>
                <w:rFonts w:cs="Calibri"/>
                <w:b/>
                <w:bCs/>
                <w:color w:val="000000"/>
                <w:sz w:val="20"/>
                <w:szCs w:val="24"/>
                <w:lang w:val="en-GB"/>
              </w:rPr>
              <w:t>Initial PCR activation step</w:t>
            </w:r>
          </w:p>
        </w:tc>
        <w:tc>
          <w:tcPr>
            <w:tcW w:w="2727"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15 min</w:t>
            </w:r>
          </w:p>
        </w:tc>
        <w:tc>
          <w:tcPr>
            <w:tcW w:w="2823"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95</w:t>
            </w:r>
            <w:r w:rsidR="00171A97">
              <w:rPr>
                <w:rFonts w:cs="Calibri"/>
                <w:color w:val="000000"/>
                <w:sz w:val="20"/>
                <w:szCs w:val="24"/>
                <w:lang w:val="en-GB"/>
              </w:rPr>
              <w:t>°C</w:t>
            </w:r>
          </w:p>
        </w:tc>
      </w:tr>
      <w:tr w:rsidR="00165414" w:rsidRPr="008D520F" w:rsidTr="00691622">
        <w:trPr>
          <w:trHeight w:val="193"/>
        </w:trPr>
        <w:tc>
          <w:tcPr>
            <w:tcW w:w="2693" w:type="dxa"/>
            <w:vAlign w:val="center"/>
          </w:tcPr>
          <w:p w:rsidR="00165414" w:rsidRPr="008D520F" w:rsidRDefault="00165414" w:rsidP="00EF1835">
            <w:pPr>
              <w:spacing w:after="0"/>
              <w:rPr>
                <w:rFonts w:cs="Calibri"/>
                <w:b/>
                <w:bCs/>
                <w:color w:val="000000"/>
                <w:sz w:val="20"/>
                <w:szCs w:val="24"/>
                <w:lang w:val="en-GB"/>
              </w:rPr>
            </w:pPr>
            <w:r w:rsidRPr="008D520F">
              <w:rPr>
                <w:rFonts w:cs="Calibri"/>
                <w:bCs/>
                <w:color w:val="000000"/>
                <w:sz w:val="20"/>
                <w:szCs w:val="24"/>
                <w:lang w:val="en-GB"/>
              </w:rPr>
              <w:tab/>
            </w:r>
            <w:r w:rsidRPr="008D520F">
              <w:rPr>
                <w:rFonts w:cs="Calibri"/>
                <w:b/>
                <w:bCs/>
                <w:color w:val="000000"/>
                <w:sz w:val="20"/>
                <w:szCs w:val="24"/>
                <w:lang w:val="en-GB"/>
              </w:rPr>
              <w:t>Denaturation</w:t>
            </w:r>
          </w:p>
        </w:tc>
        <w:tc>
          <w:tcPr>
            <w:tcW w:w="2727"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30 sec</w:t>
            </w:r>
          </w:p>
        </w:tc>
        <w:tc>
          <w:tcPr>
            <w:tcW w:w="2823"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94</w:t>
            </w:r>
            <w:r w:rsidR="00171A97">
              <w:rPr>
                <w:rFonts w:cs="Calibri"/>
                <w:color w:val="000000"/>
                <w:sz w:val="20"/>
                <w:szCs w:val="24"/>
                <w:lang w:val="en-GB"/>
              </w:rPr>
              <w:t>°C</w:t>
            </w:r>
          </w:p>
        </w:tc>
      </w:tr>
      <w:tr w:rsidR="00165414" w:rsidRPr="008D520F" w:rsidTr="00691622">
        <w:trPr>
          <w:trHeight w:val="193"/>
        </w:trPr>
        <w:tc>
          <w:tcPr>
            <w:tcW w:w="2693" w:type="dxa"/>
            <w:vAlign w:val="center"/>
          </w:tcPr>
          <w:p w:rsidR="00165414" w:rsidRPr="008D520F" w:rsidRDefault="00165414" w:rsidP="00EF1835">
            <w:pPr>
              <w:spacing w:after="0"/>
              <w:rPr>
                <w:rFonts w:cs="Calibri"/>
                <w:b/>
                <w:bCs/>
                <w:color w:val="000000"/>
                <w:sz w:val="20"/>
                <w:szCs w:val="24"/>
                <w:lang w:val="en-GB"/>
              </w:rPr>
            </w:pPr>
            <w:r w:rsidRPr="008D520F">
              <w:rPr>
                <w:rFonts w:cs="Calibri"/>
                <w:bCs/>
                <w:color w:val="000000"/>
                <w:sz w:val="20"/>
                <w:szCs w:val="24"/>
                <w:lang w:val="en-GB"/>
              </w:rPr>
              <w:tab/>
            </w:r>
            <w:r w:rsidRPr="008D520F">
              <w:rPr>
                <w:rFonts w:cs="Calibri"/>
                <w:b/>
                <w:bCs/>
                <w:color w:val="000000"/>
                <w:sz w:val="20"/>
                <w:szCs w:val="24"/>
                <w:lang w:val="en-GB"/>
              </w:rPr>
              <w:t>Annealing</w:t>
            </w:r>
          </w:p>
        </w:tc>
        <w:tc>
          <w:tcPr>
            <w:tcW w:w="2727"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30 sec</w:t>
            </w:r>
          </w:p>
        </w:tc>
        <w:tc>
          <w:tcPr>
            <w:tcW w:w="2823"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variable</w:t>
            </w:r>
          </w:p>
        </w:tc>
      </w:tr>
      <w:tr w:rsidR="00165414" w:rsidRPr="008D520F" w:rsidTr="00691622">
        <w:trPr>
          <w:trHeight w:val="193"/>
        </w:trPr>
        <w:tc>
          <w:tcPr>
            <w:tcW w:w="2693" w:type="dxa"/>
            <w:vAlign w:val="center"/>
          </w:tcPr>
          <w:p w:rsidR="00165414" w:rsidRPr="008D520F" w:rsidRDefault="00165414" w:rsidP="00EF1835">
            <w:pPr>
              <w:spacing w:after="0"/>
              <w:rPr>
                <w:rFonts w:cs="Calibri"/>
                <w:b/>
                <w:bCs/>
                <w:color w:val="000000"/>
                <w:sz w:val="20"/>
                <w:szCs w:val="24"/>
                <w:lang w:val="en-GB"/>
              </w:rPr>
            </w:pPr>
            <w:r w:rsidRPr="008D520F">
              <w:rPr>
                <w:rFonts w:cs="Calibri"/>
                <w:bCs/>
                <w:color w:val="000000"/>
                <w:sz w:val="20"/>
                <w:szCs w:val="24"/>
                <w:lang w:val="en-GB"/>
              </w:rPr>
              <w:tab/>
            </w:r>
            <w:r w:rsidRPr="008D520F">
              <w:rPr>
                <w:rFonts w:cs="Calibri"/>
                <w:b/>
                <w:bCs/>
                <w:color w:val="000000"/>
                <w:sz w:val="20"/>
                <w:szCs w:val="24"/>
                <w:lang w:val="en-GB"/>
              </w:rPr>
              <w:t>Extension</w:t>
            </w:r>
          </w:p>
        </w:tc>
        <w:tc>
          <w:tcPr>
            <w:tcW w:w="2727"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30 sec</w:t>
            </w:r>
          </w:p>
        </w:tc>
        <w:tc>
          <w:tcPr>
            <w:tcW w:w="2823"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72</w:t>
            </w:r>
            <w:r w:rsidR="00171A97">
              <w:rPr>
                <w:rFonts w:cs="Calibri"/>
                <w:color w:val="000000"/>
                <w:sz w:val="20"/>
                <w:szCs w:val="24"/>
                <w:lang w:val="en-GB"/>
              </w:rPr>
              <w:t>°C</w:t>
            </w:r>
          </w:p>
        </w:tc>
      </w:tr>
      <w:tr w:rsidR="00165414" w:rsidRPr="008D520F" w:rsidTr="00691622">
        <w:trPr>
          <w:trHeight w:val="193"/>
        </w:trPr>
        <w:tc>
          <w:tcPr>
            <w:tcW w:w="2693" w:type="dxa"/>
            <w:vAlign w:val="center"/>
          </w:tcPr>
          <w:p w:rsidR="00165414" w:rsidRPr="008D520F" w:rsidRDefault="00165414" w:rsidP="00EF1835">
            <w:pPr>
              <w:spacing w:after="0"/>
              <w:rPr>
                <w:rFonts w:cs="Calibri"/>
                <w:b/>
                <w:bCs/>
                <w:color w:val="000000"/>
                <w:sz w:val="20"/>
                <w:szCs w:val="24"/>
                <w:lang w:val="en-GB"/>
              </w:rPr>
            </w:pPr>
            <w:r w:rsidRPr="008D520F">
              <w:rPr>
                <w:rFonts w:cs="Calibri"/>
                <w:b/>
                <w:bCs/>
                <w:color w:val="000000"/>
                <w:sz w:val="20"/>
                <w:szCs w:val="24"/>
                <w:lang w:val="en-GB"/>
              </w:rPr>
              <w:t>Number of cycles</w:t>
            </w:r>
          </w:p>
        </w:tc>
        <w:tc>
          <w:tcPr>
            <w:tcW w:w="2727"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45x</w:t>
            </w:r>
          </w:p>
        </w:tc>
        <w:tc>
          <w:tcPr>
            <w:tcW w:w="2823" w:type="dxa"/>
            <w:vAlign w:val="center"/>
          </w:tcPr>
          <w:p w:rsidR="00165414" w:rsidRPr="008D520F" w:rsidRDefault="00165414" w:rsidP="00EF1835">
            <w:pPr>
              <w:spacing w:after="0"/>
              <w:jc w:val="center"/>
              <w:rPr>
                <w:rFonts w:cs="Calibri"/>
                <w:color w:val="000000"/>
                <w:sz w:val="20"/>
                <w:szCs w:val="24"/>
                <w:lang w:val="en-GB"/>
              </w:rPr>
            </w:pPr>
          </w:p>
        </w:tc>
      </w:tr>
      <w:tr w:rsidR="00165414" w:rsidRPr="008D520F" w:rsidTr="00691622">
        <w:trPr>
          <w:trHeight w:val="193"/>
        </w:trPr>
        <w:tc>
          <w:tcPr>
            <w:tcW w:w="2693" w:type="dxa"/>
            <w:vAlign w:val="center"/>
          </w:tcPr>
          <w:p w:rsidR="00165414" w:rsidRPr="008D520F" w:rsidRDefault="00165414" w:rsidP="00EF1835">
            <w:pPr>
              <w:spacing w:after="0"/>
              <w:rPr>
                <w:rFonts w:cs="Calibri"/>
                <w:b/>
                <w:bCs/>
                <w:color w:val="000000"/>
                <w:sz w:val="20"/>
                <w:szCs w:val="24"/>
                <w:lang w:val="en-GB"/>
              </w:rPr>
            </w:pPr>
            <w:r w:rsidRPr="008D520F">
              <w:rPr>
                <w:rFonts w:cs="Calibri"/>
                <w:b/>
                <w:bCs/>
                <w:color w:val="000000"/>
                <w:sz w:val="20"/>
                <w:szCs w:val="24"/>
                <w:lang w:val="en-GB"/>
              </w:rPr>
              <w:t>Final extension</w:t>
            </w:r>
          </w:p>
        </w:tc>
        <w:tc>
          <w:tcPr>
            <w:tcW w:w="2727"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10 min</w:t>
            </w:r>
          </w:p>
        </w:tc>
        <w:tc>
          <w:tcPr>
            <w:tcW w:w="2823" w:type="dxa"/>
            <w:vAlign w:val="center"/>
          </w:tcPr>
          <w:p w:rsidR="00165414" w:rsidRPr="008D520F" w:rsidRDefault="00165414" w:rsidP="00EF1835">
            <w:pPr>
              <w:spacing w:after="0"/>
              <w:jc w:val="center"/>
              <w:rPr>
                <w:rFonts w:cs="Calibri"/>
                <w:color w:val="000000"/>
                <w:sz w:val="20"/>
                <w:szCs w:val="24"/>
                <w:lang w:val="en-GB"/>
              </w:rPr>
            </w:pPr>
            <w:r w:rsidRPr="008D520F">
              <w:rPr>
                <w:rFonts w:cs="Calibri"/>
                <w:color w:val="000000"/>
                <w:sz w:val="20"/>
                <w:szCs w:val="24"/>
                <w:lang w:val="en-GB"/>
              </w:rPr>
              <w:t>72</w:t>
            </w:r>
            <w:r w:rsidR="00171A97">
              <w:rPr>
                <w:rFonts w:cs="Calibri"/>
                <w:color w:val="000000"/>
                <w:sz w:val="20"/>
                <w:szCs w:val="24"/>
                <w:lang w:val="en-GB"/>
              </w:rPr>
              <w:t>°C</w:t>
            </w:r>
          </w:p>
        </w:tc>
      </w:tr>
    </w:tbl>
    <w:p w:rsidR="00165414" w:rsidRPr="008D520F" w:rsidRDefault="00165414">
      <w:pPr>
        <w:spacing w:after="160" w:line="259" w:lineRule="auto"/>
        <w:rPr>
          <w:lang w:val="en-GB"/>
        </w:rPr>
      </w:pPr>
    </w:p>
    <w:p w:rsidR="00F85D17" w:rsidRPr="008D520F" w:rsidRDefault="00F85D17">
      <w:pPr>
        <w:spacing w:after="160" w:line="259" w:lineRule="auto"/>
        <w:rPr>
          <w:lang w:val="en-GB"/>
        </w:rPr>
      </w:pPr>
      <w:r w:rsidRPr="008D520F">
        <w:rPr>
          <w:lang w:val="en-GB"/>
        </w:rPr>
        <w:br w:type="page"/>
      </w:r>
    </w:p>
    <w:p w:rsidR="00F85D17" w:rsidRPr="008D520F" w:rsidRDefault="00F85D17" w:rsidP="00F85D17">
      <w:pPr>
        <w:jc w:val="both"/>
        <w:rPr>
          <w:rFonts w:cs="Calibri"/>
          <w:sz w:val="20"/>
          <w:szCs w:val="20"/>
          <w:lang w:val="en-GB"/>
        </w:rPr>
      </w:pPr>
      <w:bookmarkStart w:id="2" w:name="_Toc522713999"/>
      <w:r w:rsidRPr="008D520F">
        <w:rPr>
          <w:sz w:val="20"/>
          <w:szCs w:val="20"/>
          <w:lang w:val="en-GB"/>
        </w:rPr>
        <w:lastRenderedPageBreak/>
        <w:t xml:space="preserve">Table </w:t>
      </w:r>
      <w:r w:rsidR="00EC3C15">
        <w:rPr>
          <w:sz w:val="20"/>
          <w:szCs w:val="20"/>
          <w:lang w:val="en-GB"/>
        </w:rPr>
        <w:t>S</w:t>
      </w:r>
      <w:r w:rsidR="0092710A">
        <w:rPr>
          <w:sz w:val="20"/>
          <w:szCs w:val="20"/>
          <w:lang w:val="en-GB"/>
        </w:rPr>
        <w:t>6</w:t>
      </w:r>
      <w:r w:rsidRPr="008D520F">
        <w:rPr>
          <w:sz w:val="20"/>
          <w:szCs w:val="20"/>
          <w:lang w:val="en-GB"/>
        </w:rPr>
        <w:t xml:space="preserve">: </w:t>
      </w:r>
      <w:r w:rsidRPr="008D520F">
        <w:rPr>
          <w:rFonts w:cs="Calibri"/>
          <w:sz w:val="20"/>
          <w:szCs w:val="20"/>
          <w:lang w:val="en-GB"/>
        </w:rPr>
        <w:t xml:space="preserve">Primer sequences and reaction conditions for loci of interest in </w:t>
      </w:r>
      <w:r w:rsidRPr="008D520F">
        <w:rPr>
          <w:rFonts w:cs="Calibri"/>
          <w:i/>
          <w:sz w:val="20"/>
          <w:szCs w:val="20"/>
          <w:lang w:val="en-GB"/>
        </w:rPr>
        <w:t>SLC34A1</w:t>
      </w:r>
      <w:r w:rsidRPr="008D520F">
        <w:rPr>
          <w:rFonts w:cs="Calibri"/>
          <w:sz w:val="20"/>
          <w:szCs w:val="20"/>
          <w:lang w:val="en-GB"/>
        </w:rPr>
        <w:t>,</w:t>
      </w:r>
      <w:r w:rsidRPr="008D520F">
        <w:rPr>
          <w:rFonts w:cs="Calibri"/>
          <w:i/>
          <w:sz w:val="20"/>
          <w:szCs w:val="20"/>
          <w:lang w:val="en-GB"/>
        </w:rPr>
        <w:t xml:space="preserve"> UMOD </w:t>
      </w:r>
      <w:r w:rsidRPr="008D520F">
        <w:rPr>
          <w:rFonts w:cs="Calibri"/>
          <w:sz w:val="20"/>
          <w:szCs w:val="20"/>
          <w:lang w:val="en-GB"/>
        </w:rPr>
        <w:t>and</w:t>
      </w:r>
      <w:r w:rsidRPr="008D520F">
        <w:rPr>
          <w:rFonts w:cs="Calibri"/>
          <w:i/>
          <w:sz w:val="20"/>
          <w:szCs w:val="20"/>
          <w:lang w:val="en-GB"/>
        </w:rPr>
        <w:t xml:space="preserve"> CTXN3</w:t>
      </w:r>
      <w:r w:rsidRPr="008D520F">
        <w:rPr>
          <w:rFonts w:cs="Calibri"/>
          <w:sz w:val="20"/>
          <w:szCs w:val="20"/>
          <w:lang w:val="en-GB"/>
        </w:rPr>
        <w:t>.</w:t>
      </w:r>
      <w:bookmarkEnd w:id="2"/>
      <w:r w:rsidRPr="008D520F">
        <w:rPr>
          <w:rFonts w:cs="Calibri"/>
          <w:sz w:val="20"/>
          <w:szCs w:val="20"/>
          <w:lang w:val="en-GB"/>
        </w:rPr>
        <w:t xml:space="preserve"> Red ‘</w:t>
      </w:r>
      <w:r w:rsidR="00171A97">
        <w:rPr>
          <w:rFonts w:cs="Calibri"/>
          <w:sz w:val="20"/>
          <w:szCs w:val="20"/>
          <w:lang w:val="en-GB"/>
        </w:rPr>
        <w:t>R’s mark positions of analys</w:t>
      </w:r>
      <w:r w:rsidRPr="008D520F">
        <w:rPr>
          <w:rFonts w:cs="Calibri"/>
          <w:sz w:val="20"/>
          <w:szCs w:val="20"/>
          <w:lang w:val="en-GB"/>
        </w:rPr>
        <w:t>ed cytosin</w:t>
      </w:r>
      <w:r w:rsidR="00171A97">
        <w:rPr>
          <w:rFonts w:cs="Calibri"/>
          <w:sz w:val="20"/>
          <w:szCs w:val="20"/>
          <w:lang w:val="en-GB"/>
        </w:rPr>
        <w:t>es. The genomic positions analys</w:t>
      </w:r>
      <w:r w:rsidRPr="008D520F">
        <w:rPr>
          <w:rFonts w:cs="Calibri"/>
          <w:sz w:val="20"/>
          <w:szCs w:val="20"/>
          <w:lang w:val="en-GB"/>
        </w:rPr>
        <w:t xml:space="preserve">ed in </w:t>
      </w:r>
      <w:r w:rsidRPr="008D520F">
        <w:rPr>
          <w:rFonts w:cs="Calibri"/>
          <w:i/>
          <w:sz w:val="20"/>
          <w:szCs w:val="20"/>
          <w:lang w:val="en-GB"/>
        </w:rPr>
        <w:t>SLC34A1</w:t>
      </w:r>
      <w:r w:rsidRPr="008D520F">
        <w:rPr>
          <w:rFonts w:cs="Calibri"/>
          <w:sz w:val="20"/>
          <w:szCs w:val="20"/>
          <w:lang w:val="en-GB"/>
        </w:rPr>
        <w:t xml:space="preserve"> are (hg19) </w:t>
      </w:r>
      <w:r w:rsidRPr="008D520F">
        <w:rPr>
          <w:rFonts w:cs="Calibri"/>
          <w:sz w:val="20"/>
          <w:szCs w:val="20"/>
          <w:shd w:val="clear" w:color="auto" w:fill="FFFFFF"/>
          <w:lang w:val="en-GB"/>
        </w:rPr>
        <w:t xml:space="preserve">chr5:176812116 (locus 1), chr5:176812123 (locus 2) and chr5:176812139 (locus 3), in </w:t>
      </w:r>
      <w:r w:rsidRPr="008D520F">
        <w:rPr>
          <w:rFonts w:cs="Calibri"/>
          <w:i/>
          <w:sz w:val="20"/>
          <w:szCs w:val="20"/>
          <w:shd w:val="clear" w:color="auto" w:fill="FFFFFF"/>
          <w:lang w:val="en-GB"/>
        </w:rPr>
        <w:t>UMOD</w:t>
      </w:r>
      <w:r w:rsidRPr="008D520F">
        <w:rPr>
          <w:rFonts w:cs="Calibri"/>
          <w:sz w:val="20"/>
          <w:szCs w:val="20"/>
          <w:shd w:val="clear" w:color="auto" w:fill="FFFFFF"/>
          <w:lang w:val="en-GB"/>
        </w:rPr>
        <w:t xml:space="preserve"> chr16:20364262 (locus 1) and chr16:20364284 (locus 2) and in </w:t>
      </w:r>
      <w:r w:rsidRPr="008D520F">
        <w:rPr>
          <w:rFonts w:cs="Calibri"/>
          <w:i/>
          <w:sz w:val="20"/>
          <w:szCs w:val="20"/>
          <w:shd w:val="clear" w:color="auto" w:fill="FFFFFF"/>
          <w:lang w:val="en-GB"/>
        </w:rPr>
        <w:t>CTXN3</w:t>
      </w:r>
      <w:r w:rsidRPr="008D520F">
        <w:rPr>
          <w:rFonts w:cs="Calibri"/>
          <w:sz w:val="20"/>
          <w:szCs w:val="20"/>
          <w:shd w:val="clear" w:color="auto" w:fill="FFFFFF"/>
          <w:lang w:val="en-GB"/>
        </w:rPr>
        <w:t xml:space="preserve"> chr5:126988758 (locus 1).</w:t>
      </w:r>
      <w:r w:rsidRPr="008D520F">
        <w:rPr>
          <w:rFonts w:cs="Calibri"/>
          <w:sz w:val="20"/>
          <w:szCs w:val="20"/>
          <w:lang w:val="en-GB"/>
        </w:rPr>
        <w:t xml:space="preserve"> A sequenced ‘A’ in those positions refers to an unmethylated cytosine in the template (which is read as ‘T’ by the polymerase), a sequenced ‘G’ to a methylated cytosine in the template (which is read as ‘C’ by the polymerase; see </w:t>
      </w:r>
      <w:r w:rsidR="007B786A">
        <w:rPr>
          <w:rFonts w:cs="Calibri"/>
          <w:sz w:val="20"/>
          <w:szCs w:val="20"/>
          <w:lang w:val="en-GB"/>
        </w:rPr>
        <w:t>Fig.</w:t>
      </w:r>
      <w:r w:rsidRPr="008D520F">
        <w:rPr>
          <w:rFonts w:cs="Calibri"/>
          <w:sz w:val="20"/>
          <w:szCs w:val="20"/>
          <w:lang w:val="en-GB"/>
        </w:rPr>
        <w:t xml:space="preserve"> S1).</w:t>
      </w:r>
    </w:p>
    <w:tbl>
      <w:tblPr>
        <w:tblStyle w:val="TableGrid"/>
        <w:tblW w:w="0" w:type="auto"/>
        <w:tblInd w:w="108" w:type="dxa"/>
        <w:tblLook w:val="04A0" w:firstRow="1" w:lastRow="0" w:firstColumn="1" w:lastColumn="0" w:noHBand="0" w:noVBand="1"/>
      </w:tblPr>
      <w:tblGrid>
        <w:gridCol w:w="2235"/>
        <w:gridCol w:w="3827"/>
      </w:tblGrid>
      <w:tr w:rsidR="00F85D17" w:rsidRPr="008D520F" w:rsidTr="00F85D17">
        <w:tc>
          <w:tcPr>
            <w:tcW w:w="6062" w:type="dxa"/>
            <w:gridSpan w:val="2"/>
            <w:vAlign w:val="center"/>
          </w:tcPr>
          <w:p w:rsidR="00F85D17" w:rsidRPr="008D520F" w:rsidRDefault="00F85D17" w:rsidP="00EF1835">
            <w:pPr>
              <w:spacing w:after="0"/>
              <w:jc w:val="center"/>
              <w:rPr>
                <w:rFonts w:cs="Calibri"/>
                <w:b/>
                <w:sz w:val="24"/>
                <w:szCs w:val="20"/>
                <w:lang w:val="en-GB"/>
              </w:rPr>
            </w:pPr>
            <w:r w:rsidRPr="008D520F">
              <w:rPr>
                <w:rFonts w:cs="Calibri"/>
                <w:b/>
                <w:sz w:val="24"/>
                <w:szCs w:val="20"/>
                <w:lang w:val="en-GB"/>
              </w:rPr>
              <w:t>SLC34A1</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Primer F</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biotin-GGGAAAGGAATTTATTGTGA</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Primer R</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CAAACACCTACCTTCTCATAA</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Pyrosequencing primer</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AAAATCCCCTAAACC</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Annealing Temp</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52°C</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Sequence 1</w:t>
            </w:r>
          </w:p>
        </w:tc>
        <w:tc>
          <w:tcPr>
            <w:tcW w:w="3827" w:type="dxa"/>
          </w:tcPr>
          <w:p w:rsidR="00F85D17" w:rsidRPr="008D520F" w:rsidRDefault="00F85D17" w:rsidP="00EF1835">
            <w:pPr>
              <w:spacing w:after="0"/>
              <w:jc w:val="both"/>
              <w:rPr>
                <w:rFonts w:cs="Calibri"/>
                <w:sz w:val="20"/>
                <w:szCs w:val="20"/>
                <w:lang w:val="en-GB"/>
              </w:rPr>
            </w:pPr>
            <w:r w:rsidRPr="008D520F">
              <w:rPr>
                <w:rFonts w:cs="Calibri"/>
                <w:b/>
                <w:color w:val="FF0000"/>
                <w:sz w:val="20"/>
                <w:szCs w:val="20"/>
                <w:lang w:val="en-GB"/>
              </w:rPr>
              <w:t>R</w:t>
            </w:r>
            <w:r w:rsidRPr="008D520F">
              <w:rPr>
                <w:rFonts w:cs="Calibri"/>
                <w:sz w:val="20"/>
                <w:szCs w:val="20"/>
                <w:lang w:val="en-GB"/>
              </w:rPr>
              <w:t>AATCCC</w:t>
            </w:r>
            <w:r w:rsidRPr="008D520F">
              <w:rPr>
                <w:rFonts w:cs="Calibri"/>
                <w:b/>
                <w:color w:val="FF0000"/>
                <w:sz w:val="20"/>
                <w:szCs w:val="20"/>
                <w:lang w:val="en-GB"/>
              </w:rPr>
              <w:t>R</w:t>
            </w:r>
            <w:r w:rsidRPr="008D520F">
              <w:rPr>
                <w:rFonts w:cs="Calibri"/>
                <w:sz w:val="20"/>
                <w:szCs w:val="20"/>
                <w:lang w:val="en-GB"/>
              </w:rPr>
              <w:t>AATTCCTAAATTCCCCTCACAATAA</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Sequence 2</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CACAC</w:t>
            </w:r>
            <w:r w:rsidRPr="008D520F">
              <w:rPr>
                <w:rFonts w:cs="Calibri"/>
                <w:b/>
                <w:color w:val="FF0000"/>
                <w:sz w:val="20"/>
                <w:szCs w:val="20"/>
                <w:lang w:val="en-GB"/>
              </w:rPr>
              <w:t>R</w:t>
            </w:r>
            <w:r w:rsidRPr="008D520F">
              <w:rPr>
                <w:rFonts w:cs="Calibri"/>
                <w:sz w:val="20"/>
                <w:szCs w:val="20"/>
                <w:lang w:val="en-GB"/>
              </w:rPr>
              <w:t>AAAATCCCCTAAACC</w:t>
            </w:r>
          </w:p>
        </w:tc>
      </w:tr>
      <w:tr w:rsidR="00F85D17" w:rsidRPr="008D520F" w:rsidTr="00F85D17">
        <w:tc>
          <w:tcPr>
            <w:tcW w:w="6062" w:type="dxa"/>
            <w:gridSpan w:val="2"/>
            <w:vAlign w:val="center"/>
          </w:tcPr>
          <w:p w:rsidR="00F85D17" w:rsidRPr="008D520F" w:rsidRDefault="00F85D17" w:rsidP="00EF1835">
            <w:pPr>
              <w:spacing w:after="0"/>
              <w:jc w:val="center"/>
              <w:rPr>
                <w:rFonts w:cs="Calibri"/>
                <w:b/>
                <w:sz w:val="24"/>
                <w:szCs w:val="20"/>
                <w:lang w:val="en-GB"/>
              </w:rPr>
            </w:pPr>
            <w:r w:rsidRPr="008D520F">
              <w:rPr>
                <w:rFonts w:cs="Calibri"/>
                <w:b/>
                <w:sz w:val="24"/>
                <w:szCs w:val="20"/>
                <w:lang w:val="en-GB"/>
              </w:rPr>
              <w:t>UMOD</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Primer F</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TTGGGGGGTTATATTTGTGT</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Primer R</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biotin-AACCCAACACCTTAACACTACTT</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Pyrosequencing primer</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GGGGGGTTATATTTGTG</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Annealing Temp</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57°C</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Sequence</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TT</w:t>
            </w:r>
            <w:r w:rsidRPr="008D520F">
              <w:rPr>
                <w:rFonts w:cs="Calibri"/>
                <w:b/>
                <w:color w:val="FF0000"/>
                <w:sz w:val="20"/>
                <w:szCs w:val="20"/>
                <w:lang w:val="en-GB"/>
              </w:rPr>
              <w:t>R</w:t>
            </w:r>
            <w:r w:rsidRPr="008D520F">
              <w:rPr>
                <w:rFonts w:cs="Calibri"/>
                <w:sz w:val="20"/>
                <w:szCs w:val="20"/>
                <w:lang w:val="en-GB"/>
              </w:rPr>
              <w:t>GGAAATATAAGGTTATTGTTT</w:t>
            </w:r>
            <w:r w:rsidRPr="008D520F">
              <w:rPr>
                <w:rFonts w:cs="Calibri"/>
                <w:b/>
                <w:color w:val="FF0000"/>
                <w:sz w:val="20"/>
                <w:szCs w:val="20"/>
                <w:lang w:val="en-GB"/>
              </w:rPr>
              <w:t>R</w:t>
            </w:r>
            <w:r w:rsidRPr="008D520F">
              <w:rPr>
                <w:rFonts w:cs="Calibri"/>
                <w:sz w:val="20"/>
                <w:szCs w:val="20"/>
                <w:lang w:val="en-GB"/>
              </w:rPr>
              <w:t>GTA</w:t>
            </w:r>
          </w:p>
        </w:tc>
      </w:tr>
      <w:tr w:rsidR="00F85D17" w:rsidRPr="008D520F" w:rsidTr="00F85D17">
        <w:tc>
          <w:tcPr>
            <w:tcW w:w="6062" w:type="dxa"/>
            <w:gridSpan w:val="2"/>
            <w:vAlign w:val="center"/>
          </w:tcPr>
          <w:p w:rsidR="00F85D17" w:rsidRPr="008D520F" w:rsidRDefault="00F85D17" w:rsidP="00EF1835">
            <w:pPr>
              <w:spacing w:after="0"/>
              <w:jc w:val="center"/>
              <w:rPr>
                <w:rFonts w:cs="Calibri"/>
                <w:b/>
                <w:color w:val="FF0000"/>
                <w:sz w:val="24"/>
                <w:szCs w:val="20"/>
                <w:lang w:val="en-GB"/>
              </w:rPr>
            </w:pPr>
            <w:r w:rsidRPr="008D520F">
              <w:rPr>
                <w:rFonts w:cs="Calibri"/>
                <w:b/>
                <w:sz w:val="24"/>
                <w:szCs w:val="20"/>
                <w:lang w:val="en-GB"/>
              </w:rPr>
              <w:t>CTXN3</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Primer F</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TGTGGATATTGGGGTGTAAAGG</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Primer R</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biotin-TCCTCATCCCTTACCCATACTTC</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Pyrosequencing primer</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TGGGTTTAAAAAGATGAAT</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Annealing Temp</w:t>
            </w:r>
          </w:p>
        </w:tc>
        <w:tc>
          <w:tcPr>
            <w:tcW w:w="3827" w:type="dxa"/>
          </w:tcPr>
          <w:p w:rsidR="00F85D17" w:rsidRPr="008D520F" w:rsidRDefault="00F85D17" w:rsidP="00EF1835">
            <w:pPr>
              <w:spacing w:after="0"/>
              <w:jc w:val="both"/>
              <w:rPr>
                <w:rFonts w:cs="Calibri"/>
                <w:sz w:val="20"/>
                <w:szCs w:val="20"/>
                <w:lang w:val="en-GB"/>
              </w:rPr>
            </w:pPr>
            <w:r w:rsidRPr="008D520F">
              <w:rPr>
                <w:rFonts w:cs="Calibri"/>
                <w:sz w:val="20"/>
                <w:szCs w:val="20"/>
                <w:lang w:val="en-GB"/>
              </w:rPr>
              <w:t>60°C</w:t>
            </w:r>
          </w:p>
        </w:tc>
      </w:tr>
      <w:tr w:rsidR="00F85D17" w:rsidRPr="008D520F" w:rsidTr="00F85D17">
        <w:tc>
          <w:tcPr>
            <w:tcW w:w="2235" w:type="dxa"/>
          </w:tcPr>
          <w:p w:rsidR="00F85D17" w:rsidRPr="008D520F" w:rsidRDefault="00F85D17" w:rsidP="00EF1835">
            <w:pPr>
              <w:spacing w:after="0"/>
              <w:jc w:val="both"/>
              <w:rPr>
                <w:rFonts w:cs="Calibri"/>
                <w:b/>
                <w:sz w:val="20"/>
                <w:szCs w:val="20"/>
                <w:lang w:val="en-GB"/>
              </w:rPr>
            </w:pPr>
            <w:r w:rsidRPr="008D520F">
              <w:rPr>
                <w:rFonts w:cs="Calibri"/>
                <w:b/>
                <w:sz w:val="20"/>
                <w:szCs w:val="20"/>
                <w:lang w:val="en-GB"/>
              </w:rPr>
              <w:t>Sequence</w:t>
            </w:r>
          </w:p>
        </w:tc>
        <w:tc>
          <w:tcPr>
            <w:tcW w:w="3827" w:type="dxa"/>
          </w:tcPr>
          <w:p w:rsidR="00F85D17" w:rsidRPr="008D520F" w:rsidRDefault="00F85D17" w:rsidP="00EF1835">
            <w:pPr>
              <w:spacing w:after="0"/>
              <w:jc w:val="both"/>
              <w:rPr>
                <w:rFonts w:cs="Calibri"/>
                <w:sz w:val="20"/>
                <w:szCs w:val="20"/>
                <w:lang w:val="en-GB"/>
              </w:rPr>
            </w:pPr>
            <w:r w:rsidRPr="008D520F">
              <w:rPr>
                <w:rFonts w:cs="Calibri"/>
                <w:b/>
                <w:color w:val="FF0000"/>
                <w:sz w:val="20"/>
                <w:szCs w:val="20"/>
                <w:lang w:val="en-GB"/>
              </w:rPr>
              <w:t>R</w:t>
            </w:r>
            <w:r w:rsidRPr="008D520F">
              <w:rPr>
                <w:rFonts w:cs="Calibri"/>
                <w:sz w:val="20"/>
                <w:szCs w:val="20"/>
                <w:lang w:val="en-GB"/>
              </w:rPr>
              <w:t>GAGATGTAGTGTGTAGGAAGTATGG</w:t>
            </w:r>
          </w:p>
        </w:tc>
      </w:tr>
    </w:tbl>
    <w:p w:rsidR="00CC1CAE" w:rsidRPr="008D520F" w:rsidRDefault="00CC1CAE">
      <w:pPr>
        <w:spacing w:after="160" w:line="259" w:lineRule="auto"/>
        <w:rPr>
          <w:b/>
          <w:u w:val="single"/>
          <w:lang w:val="en-GB"/>
        </w:rPr>
      </w:pPr>
    </w:p>
    <w:p w:rsidR="0092710A" w:rsidRDefault="0092710A">
      <w:pPr>
        <w:spacing w:after="160" w:line="259" w:lineRule="auto"/>
        <w:rPr>
          <w:b/>
          <w:u w:val="single"/>
          <w:lang w:val="en-GB"/>
        </w:rPr>
        <w:sectPr w:rsidR="0092710A" w:rsidSect="003B49D0">
          <w:pgSz w:w="12240" w:h="15840"/>
          <w:pgMar w:top="1417" w:right="1417" w:bottom="1134" w:left="1417" w:header="708" w:footer="708" w:gutter="0"/>
          <w:cols w:space="708"/>
          <w:docGrid w:linePitch="360"/>
        </w:sectPr>
      </w:pPr>
    </w:p>
    <w:p w:rsidR="0092710A" w:rsidRPr="008D520F" w:rsidRDefault="0092710A" w:rsidP="0092710A">
      <w:pPr>
        <w:spacing w:after="40"/>
        <w:jc w:val="both"/>
        <w:rPr>
          <w:sz w:val="20"/>
          <w:lang w:val="en-GB"/>
        </w:rPr>
      </w:pPr>
      <w:r w:rsidRPr="008D520F">
        <w:rPr>
          <w:sz w:val="20"/>
          <w:lang w:val="en-GB"/>
        </w:rPr>
        <w:lastRenderedPageBreak/>
        <w:t xml:space="preserve">Table </w:t>
      </w:r>
      <w:r>
        <w:rPr>
          <w:sz w:val="20"/>
          <w:lang w:val="en-GB"/>
        </w:rPr>
        <w:t>S7</w:t>
      </w:r>
      <w:r w:rsidRPr="008D520F">
        <w:rPr>
          <w:sz w:val="20"/>
          <w:lang w:val="en-GB"/>
        </w:rPr>
        <w:t xml:space="preserve">: Sequencing and associated clinical data for each sample in this study, </w:t>
      </w:r>
      <w:r>
        <w:rPr>
          <w:sz w:val="20"/>
          <w:lang w:val="en-GB"/>
        </w:rPr>
        <w:t>discovery cohort</w:t>
      </w:r>
      <w:r w:rsidRPr="008D520F">
        <w:rPr>
          <w:sz w:val="20"/>
          <w:lang w:val="en-GB"/>
        </w:rPr>
        <w:t>.</w:t>
      </w:r>
    </w:p>
    <w:tbl>
      <w:tblPr>
        <w:tblW w:w="14104" w:type="dxa"/>
        <w:tblInd w:w="70" w:type="dxa"/>
        <w:tblCellMar>
          <w:left w:w="70" w:type="dxa"/>
          <w:right w:w="70" w:type="dxa"/>
        </w:tblCellMar>
        <w:tblLook w:val="04A0" w:firstRow="1" w:lastRow="0" w:firstColumn="1" w:lastColumn="0" w:noHBand="0" w:noVBand="1"/>
      </w:tblPr>
      <w:tblGrid>
        <w:gridCol w:w="570"/>
        <w:gridCol w:w="2974"/>
        <w:gridCol w:w="1840"/>
        <w:gridCol w:w="570"/>
        <w:gridCol w:w="1453"/>
        <w:gridCol w:w="955"/>
        <w:gridCol w:w="643"/>
        <w:gridCol w:w="1060"/>
        <w:gridCol w:w="1134"/>
        <w:gridCol w:w="1134"/>
        <w:gridCol w:w="779"/>
        <w:gridCol w:w="992"/>
      </w:tblGrid>
      <w:tr w:rsidR="0092710A" w:rsidRPr="008D520F" w:rsidTr="009169E9">
        <w:trPr>
          <w:trHeight w:val="360"/>
        </w:trPr>
        <w:tc>
          <w:tcPr>
            <w:tcW w:w="570" w:type="dxa"/>
            <w:tcBorders>
              <w:top w:val="single" w:sz="8" w:space="0" w:color="auto"/>
              <w:left w:val="single" w:sz="8" w:space="0" w:color="auto"/>
              <w:bottom w:val="single" w:sz="8" w:space="0" w:color="auto"/>
              <w:right w:val="single" w:sz="2"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Sample name</w:t>
            </w:r>
          </w:p>
        </w:tc>
        <w:tc>
          <w:tcPr>
            <w:tcW w:w="2974" w:type="dxa"/>
            <w:tcBorders>
              <w:top w:val="single" w:sz="8" w:space="0" w:color="auto"/>
              <w:left w:val="single" w:sz="2" w:space="0" w:color="auto"/>
              <w:bottom w:val="single" w:sz="8" w:space="0" w:color="auto"/>
              <w:right w:val="single" w:sz="2"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Clinical data</w:t>
            </w:r>
          </w:p>
        </w:tc>
        <w:tc>
          <w:tcPr>
            <w:tcW w:w="1840" w:type="dxa"/>
            <w:tcBorders>
              <w:top w:val="single" w:sz="8" w:space="0" w:color="auto"/>
              <w:left w:val="single" w:sz="2"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Sample description</w:t>
            </w:r>
          </w:p>
        </w:tc>
        <w:tc>
          <w:tcPr>
            <w:tcW w:w="5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Sample ID</w:t>
            </w:r>
          </w:p>
        </w:tc>
        <w:tc>
          <w:tcPr>
            <w:tcW w:w="145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Barcode sequence</w:t>
            </w:r>
          </w:p>
        </w:tc>
        <w:tc>
          <w:tcPr>
            <w:tcW w:w="95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PF Clusters</w:t>
            </w:r>
          </w:p>
        </w:tc>
        <w:tc>
          <w:tcPr>
            <w:tcW w:w="64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Yield (Gbases)</w:t>
            </w:r>
          </w:p>
        </w:tc>
        <w:tc>
          <w:tcPr>
            <w:tcW w:w="1060" w:type="dxa"/>
            <w:tcBorders>
              <w:top w:val="single" w:sz="8" w:space="0" w:color="auto"/>
              <w:left w:val="nil"/>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PE reads for alignment</w:t>
            </w:r>
          </w:p>
        </w:tc>
        <w:tc>
          <w:tcPr>
            <w:tcW w:w="1134" w:type="dxa"/>
            <w:tcBorders>
              <w:top w:val="single" w:sz="8" w:space="0" w:color="auto"/>
              <w:left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Uniquely mapped reads</w:t>
            </w:r>
          </w:p>
        </w:tc>
        <w:tc>
          <w:tcPr>
            <w:tcW w:w="1134" w:type="dxa"/>
            <w:tcBorders>
              <w:top w:val="single" w:sz="8" w:space="0" w:color="auto"/>
              <w:left w:val="nil"/>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Estimated hg19 coverage</w:t>
            </w:r>
          </w:p>
        </w:tc>
        <w:tc>
          <w:tcPr>
            <w:tcW w:w="779" w:type="dxa"/>
            <w:tcBorders>
              <w:top w:val="single" w:sz="8" w:space="0" w:color="auto"/>
              <w:left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 &gt;= Q30 bases</w:t>
            </w:r>
          </w:p>
        </w:tc>
        <w:tc>
          <w:tcPr>
            <w:tcW w:w="992" w:type="dxa"/>
            <w:tcBorders>
              <w:top w:val="single" w:sz="8" w:space="0" w:color="auto"/>
              <w:left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Mean Quality</w:t>
            </w:r>
          </w:p>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Score</w:t>
            </w:r>
          </w:p>
        </w:tc>
      </w:tr>
      <w:tr w:rsidR="0092710A" w:rsidRPr="008D520F" w:rsidTr="009169E9">
        <w:trPr>
          <w:trHeight w:val="170"/>
        </w:trPr>
        <w:tc>
          <w:tcPr>
            <w:tcW w:w="57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K16</w:t>
            </w:r>
          </w:p>
        </w:tc>
        <w:tc>
          <w:tcPr>
            <w:tcW w:w="297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Healthy</w:t>
            </w:r>
            <w:r>
              <w:rPr>
                <w:rFonts w:ascii="Calibri" w:eastAsia="Times New Roman" w:hAnsi="Calibri" w:cs="Times New Roman"/>
                <w:color w:val="000000"/>
                <w:sz w:val="14"/>
                <w:lang w:val="en-GB" w:eastAsia="de-DE"/>
              </w:rPr>
              <w:t xml:space="preserve"> </w:t>
            </w:r>
            <w:r w:rsidRPr="008D520F">
              <w:rPr>
                <w:rFonts w:ascii="Calibri" w:eastAsia="Times New Roman" w:hAnsi="Calibri" w:cs="Times New Roman"/>
                <w:color w:val="000000"/>
                <w:sz w:val="14"/>
                <w:lang w:val="en-GB" w:eastAsia="de-DE"/>
              </w:rPr>
              <w:br/>
            </w:r>
            <w:r w:rsidRPr="008D520F">
              <w:rPr>
                <w:rFonts w:ascii="Calibri" w:eastAsia="Times New Roman" w:hAnsi="Calibri" w:cs="Times New Roman"/>
                <w:color w:val="000000"/>
                <w:sz w:val="14"/>
                <w:lang w:val="en-GB" w:eastAsia="de-DE"/>
              </w:rPr>
              <w:br/>
            </w:r>
            <w:r>
              <w:rPr>
                <w:rFonts w:ascii="Calibri" w:eastAsia="Times New Roman" w:hAnsi="Calibri" w:cs="Times New Roman"/>
                <w:color w:val="000000"/>
                <w:sz w:val="14"/>
                <w:lang w:val="en-GB" w:eastAsia="de-DE"/>
              </w:rPr>
              <w:t xml:space="preserve">Adult </w:t>
            </w:r>
            <w:r w:rsidRPr="008D520F">
              <w:rPr>
                <w:rFonts w:ascii="Calibri" w:eastAsia="Times New Roman" w:hAnsi="Calibri" w:cs="Times New Roman"/>
                <w:color w:val="000000"/>
                <w:sz w:val="14"/>
                <w:lang w:val="en-GB" w:eastAsia="de-DE"/>
              </w:rPr>
              <w:t>female</w:t>
            </w:r>
          </w:p>
        </w:tc>
        <w:tc>
          <w:tcPr>
            <w:tcW w:w="18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K16, blood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triplicate</w:t>
            </w:r>
          </w:p>
        </w:tc>
        <w:tc>
          <w:tcPr>
            <w:tcW w:w="570" w:type="dxa"/>
            <w:tcBorders>
              <w:top w:val="single" w:sz="8"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91958</w:t>
            </w:r>
          </w:p>
        </w:tc>
        <w:tc>
          <w:tcPr>
            <w:tcW w:w="1453" w:type="dxa"/>
            <w:tcBorders>
              <w:top w:val="single" w:sz="8"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TGACCA</w:t>
            </w:r>
          </w:p>
        </w:tc>
        <w:tc>
          <w:tcPr>
            <w:tcW w:w="955" w:type="dxa"/>
            <w:tcBorders>
              <w:top w:val="single" w:sz="8"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467,401,072</w:t>
            </w:r>
          </w:p>
        </w:tc>
        <w:tc>
          <w:tcPr>
            <w:tcW w:w="643" w:type="dxa"/>
            <w:tcBorders>
              <w:top w:val="single" w:sz="8"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141.2</w:t>
            </w:r>
          </w:p>
        </w:tc>
        <w:tc>
          <w:tcPr>
            <w:tcW w:w="1060" w:type="dxa"/>
            <w:tcBorders>
              <w:top w:val="single" w:sz="8"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934,802,144</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single" w:sz="8"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single" w:sz="8" w:space="0" w:color="auto"/>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90.10</w:t>
            </w:r>
          </w:p>
        </w:tc>
        <w:tc>
          <w:tcPr>
            <w:tcW w:w="992"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35.27</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nil"/>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91959</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ACAGTG</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421,277,761</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127.2</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842,555,522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90.34</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35.32</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nil"/>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91960</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GCCAAT</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534,113,263</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161.3</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1,068,226,526</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90.22</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35.29</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nil"/>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429.7</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2,252,119,902</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109.0</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nil"/>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K16, urine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triplicate</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94314</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AGTCAA</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429,299,057</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129.7</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858,598,114</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88.88</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34.98</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nil"/>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94315</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AGTTCC</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451,257,565</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136.3</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902,515,130</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89.19</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35.05</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nil"/>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94316</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ATGTCA</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379,359,910</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114.6</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758,719,820</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88.81</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34.96</w:t>
            </w:r>
          </w:p>
        </w:tc>
      </w:tr>
      <w:tr w:rsidR="0092710A" w:rsidRPr="008D520F" w:rsidTr="009169E9">
        <w:trPr>
          <w:trHeight w:val="170"/>
        </w:trPr>
        <w:tc>
          <w:tcPr>
            <w:tcW w:w="570" w:type="dxa"/>
            <w:vMerge/>
            <w:tcBorders>
              <w:top w:val="single" w:sz="8" w:space="0" w:color="auto"/>
              <w:left w:val="single" w:sz="8" w:space="0" w:color="auto"/>
              <w:bottom w:val="single" w:sz="12"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nil"/>
              <w:left w:val="single" w:sz="4" w:space="0" w:color="auto"/>
              <w:bottom w:val="single" w:sz="12"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380.6</w:t>
            </w:r>
          </w:p>
        </w:tc>
        <w:tc>
          <w:tcPr>
            <w:tcW w:w="1060" w:type="dxa"/>
            <w:tcBorders>
              <w:top w:val="nil"/>
              <w:left w:val="nil"/>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12"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1,968,803,556</w:t>
            </w:r>
          </w:p>
        </w:tc>
        <w:tc>
          <w:tcPr>
            <w:tcW w:w="1134" w:type="dxa"/>
            <w:tcBorders>
              <w:top w:val="nil"/>
              <w:left w:val="nil"/>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95.3</w:t>
            </w:r>
          </w:p>
        </w:tc>
        <w:tc>
          <w:tcPr>
            <w:tcW w:w="779" w:type="dxa"/>
            <w:tcBorders>
              <w:top w:val="nil"/>
              <w:left w:val="single" w:sz="4" w:space="0" w:color="auto"/>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12"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val="restart"/>
            <w:tcBorders>
              <w:top w:val="single" w:sz="12" w:space="0" w:color="auto"/>
              <w:left w:val="single" w:sz="8" w:space="0" w:color="auto"/>
              <w:bottom w:val="single" w:sz="8" w:space="0" w:color="000000"/>
              <w:right w:val="single" w:sz="4"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K17</w:t>
            </w:r>
          </w:p>
        </w:tc>
        <w:tc>
          <w:tcPr>
            <w:tcW w:w="2974"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Healthy</w:t>
            </w:r>
            <w:r>
              <w:rPr>
                <w:rFonts w:ascii="Calibri" w:eastAsia="Times New Roman" w:hAnsi="Calibri" w:cs="Times New Roman"/>
                <w:color w:val="000000"/>
                <w:sz w:val="14"/>
                <w:lang w:val="en-GB" w:eastAsia="de-DE"/>
              </w:rPr>
              <w:t xml:space="preserve"> </w:t>
            </w:r>
            <w:r w:rsidRPr="008D520F">
              <w:rPr>
                <w:rFonts w:ascii="Calibri" w:eastAsia="Times New Roman" w:hAnsi="Calibri" w:cs="Times New Roman"/>
                <w:color w:val="000000"/>
                <w:sz w:val="14"/>
                <w:lang w:val="en-GB" w:eastAsia="de-DE"/>
              </w:rPr>
              <w:br/>
            </w:r>
            <w:r w:rsidRPr="008D520F">
              <w:rPr>
                <w:rFonts w:ascii="Calibri" w:eastAsia="Times New Roman" w:hAnsi="Calibri" w:cs="Times New Roman"/>
                <w:color w:val="000000"/>
                <w:sz w:val="14"/>
                <w:lang w:val="en-GB" w:eastAsia="de-DE"/>
              </w:rPr>
              <w:br/>
            </w:r>
            <w:r>
              <w:rPr>
                <w:rFonts w:ascii="Calibri" w:eastAsia="Times New Roman" w:hAnsi="Calibri" w:cs="Times New Roman"/>
                <w:color w:val="000000"/>
                <w:sz w:val="14"/>
                <w:lang w:val="en-GB" w:eastAsia="de-DE"/>
              </w:rPr>
              <w:t>Adolescent</w:t>
            </w:r>
            <w:r w:rsidRPr="008D520F">
              <w:rPr>
                <w:rFonts w:ascii="Calibri" w:eastAsia="Times New Roman" w:hAnsi="Calibri" w:cs="Times New Roman"/>
                <w:color w:val="000000"/>
                <w:sz w:val="14"/>
                <w:lang w:val="en-GB" w:eastAsia="de-DE"/>
              </w:rPr>
              <w:t xml:space="preserve"> male</w:t>
            </w:r>
          </w:p>
        </w:tc>
        <w:tc>
          <w:tcPr>
            <w:tcW w:w="1840"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K17, blood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xml:space="preserve">, </w:t>
            </w:r>
          </w:p>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different time points</w:t>
            </w:r>
          </w:p>
        </w:tc>
        <w:tc>
          <w:tcPr>
            <w:tcW w:w="570"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94321</w:t>
            </w:r>
          </w:p>
        </w:tc>
        <w:tc>
          <w:tcPr>
            <w:tcW w:w="145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GTTTCG</w:t>
            </w:r>
          </w:p>
        </w:tc>
        <w:tc>
          <w:tcPr>
            <w:tcW w:w="955"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581,574,772</w:t>
            </w:r>
          </w:p>
        </w:tc>
        <w:tc>
          <w:tcPr>
            <w:tcW w:w="64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175.6</w:t>
            </w:r>
          </w:p>
        </w:tc>
        <w:tc>
          <w:tcPr>
            <w:tcW w:w="1060"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1,163,149,544</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single" w:sz="12" w:space="0" w:color="auto"/>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90.04</w:t>
            </w:r>
          </w:p>
        </w:tc>
        <w:tc>
          <w:tcPr>
            <w:tcW w:w="992" w:type="dxa"/>
            <w:tcBorders>
              <w:top w:val="single" w:sz="12" w:space="0" w:color="auto"/>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35.24</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94322</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CGTACG</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563,273,181</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170.1</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1,126,546,362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90.39</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35.31</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345.7</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1,853,252,068</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89.7</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K17, urine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xml:space="preserve">, </w:t>
            </w:r>
          </w:p>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different time points</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94317</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CCGTCC</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456,826,086</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138.0</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913,652,172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89.82</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35.19</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94318</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GTCCGC</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479,536,832</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144.8</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959,073,664</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89.42</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35.09</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94319</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GTGAAA</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398,090,769</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120.2</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796,181,538</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89.74</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35.17</w:t>
            </w:r>
          </w:p>
        </w:tc>
      </w:tr>
      <w:tr w:rsidR="0092710A" w:rsidRPr="008D520F" w:rsidTr="009169E9">
        <w:trPr>
          <w:trHeight w:val="170"/>
        </w:trPr>
        <w:tc>
          <w:tcPr>
            <w:tcW w:w="570" w:type="dxa"/>
            <w:vMerge/>
            <w:tcBorders>
              <w:top w:val="single" w:sz="8" w:space="0" w:color="auto"/>
              <w:left w:val="single" w:sz="8" w:space="0" w:color="auto"/>
              <w:bottom w:val="single" w:sz="12"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12"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403.0</w:t>
            </w:r>
          </w:p>
        </w:tc>
        <w:tc>
          <w:tcPr>
            <w:tcW w:w="1060" w:type="dxa"/>
            <w:tcBorders>
              <w:top w:val="nil"/>
              <w:left w:val="nil"/>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12"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1,944,965,694</w:t>
            </w:r>
          </w:p>
        </w:tc>
        <w:tc>
          <w:tcPr>
            <w:tcW w:w="1134" w:type="dxa"/>
            <w:tcBorders>
              <w:top w:val="nil"/>
              <w:left w:val="nil"/>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94.1</w:t>
            </w:r>
          </w:p>
        </w:tc>
        <w:tc>
          <w:tcPr>
            <w:tcW w:w="779" w:type="dxa"/>
            <w:tcBorders>
              <w:top w:val="nil"/>
              <w:left w:val="single" w:sz="4" w:space="0" w:color="auto"/>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12"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val="restart"/>
            <w:tcBorders>
              <w:top w:val="single" w:sz="12" w:space="0" w:color="auto"/>
              <w:left w:val="single" w:sz="8" w:space="0" w:color="auto"/>
              <w:bottom w:val="single" w:sz="8" w:space="0" w:color="000000"/>
              <w:right w:val="single" w:sz="4"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K18</w:t>
            </w:r>
          </w:p>
        </w:tc>
        <w:tc>
          <w:tcPr>
            <w:tcW w:w="2974"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Healthy</w:t>
            </w:r>
            <w:r>
              <w:rPr>
                <w:rFonts w:ascii="Calibri" w:eastAsia="Times New Roman" w:hAnsi="Calibri" w:cs="Times New Roman"/>
                <w:color w:val="000000"/>
                <w:sz w:val="14"/>
                <w:lang w:val="en-GB" w:eastAsia="de-DE"/>
              </w:rPr>
              <w:t xml:space="preserve"> </w:t>
            </w:r>
            <w:r w:rsidRPr="008D520F">
              <w:rPr>
                <w:rFonts w:ascii="Calibri" w:eastAsia="Times New Roman" w:hAnsi="Calibri" w:cs="Times New Roman"/>
                <w:color w:val="000000"/>
                <w:sz w:val="14"/>
                <w:lang w:val="en-GB" w:eastAsia="de-DE"/>
              </w:rPr>
              <w:br/>
            </w:r>
            <w:r w:rsidRPr="008D520F">
              <w:rPr>
                <w:rFonts w:ascii="Calibri" w:eastAsia="Times New Roman" w:hAnsi="Calibri" w:cs="Times New Roman"/>
                <w:color w:val="000000"/>
                <w:sz w:val="14"/>
                <w:lang w:val="en-GB" w:eastAsia="de-DE"/>
              </w:rPr>
              <w:br/>
            </w:r>
            <w:r>
              <w:rPr>
                <w:rFonts w:ascii="Calibri" w:eastAsia="Times New Roman" w:hAnsi="Calibri" w:cs="Times New Roman"/>
                <w:color w:val="000000"/>
                <w:sz w:val="14"/>
                <w:lang w:val="en-GB" w:eastAsia="de-DE"/>
              </w:rPr>
              <w:t>Adult</w:t>
            </w:r>
            <w:r w:rsidRPr="008D520F">
              <w:rPr>
                <w:rFonts w:ascii="Calibri" w:eastAsia="Times New Roman" w:hAnsi="Calibri" w:cs="Times New Roman"/>
                <w:color w:val="000000"/>
                <w:sz w:val="14"/>
                <w:lang w:val="en-GB" w:eastAsia="de-DE"/>
              </w:rPr>
              <w:t xml:space="preserve"> female</w:t>
            </w:r>
          </w:p>
        </w:tc>
        <w:tc>
          <w:tcPr>
            <w:tcW w:w="1840"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K18, blood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triplicate</w:t>
            </w:r>
          </w:p>
        </w:tc>
        <w:tc>
          <w:tcPr>
            <w:tcW w:w="570"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98994</w:t>
            </w:r>
          </w:p>
        </w:tc>
        <w:tc>
          <w:tcPr>
            <w:tcW w:w="145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ATCACG</w:t>
            </w:r>
          </w:p>
        </w:tc>
        <w:tc>
          <w:tcPr>
            <w:tcW w:w="955"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245,698,731</w:t>
            </w:r>
          </w:p>
        </w:tc>
        <w:tc>
          <w:tcPr>
            <w:tcW w:w="64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74.2</w:t>
            </w:r>
          </w:p>
        </w:tc>
        <w:tc>
          <w:tcPr>
            <w:tcW w:w="1060"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491,397,462</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single" w:sz="12" w:space="0" w:color="auto"/>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90.64</w:t>
            </w:r>
          </w:p>
        </w:tc>
        <w:tc>
          <w:tcPr>
            <w:tcW w:w="992" w:type="dxa"/>
            <w:tcBorders>
              <w:top w:val="single" w:sz="12" w:space="0" w:color="auto"/>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35.35</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98995</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CGATGT</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344,840,712</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104.1</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689,681,424</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91.12</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35.45</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98996</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TTAGGC</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361,797,203</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109.3</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723,594,406</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90.01</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35.24</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287.6</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1,562,114,416</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75.6</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tcBorders>
              <w:top w:val="single" w:sz="8" w:space="0" w:color="auto"/>
              <w:left w:val="single" w:sz="8" w:space="0" w:color="auto"/>
              <w:bottom w:val="single" w:sz="12"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12"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K18, urine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single library</w:t>
            </w:r>
          </w:p>
        </w:tc>
        <w:tc>
          <w:tcPr>
            <w:tcW w:w="570"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98914</w:t>
            </w:r>
          </w:p>
        </w:tc>
        <w:tc>
          <w:tcPr>
            <w:tcW w:w="1453"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ATTCCT</w:t>
            </w:r>
          </w:p>
        </w:tc>
        <w:tc>
          <w:tcPr>
            <w:tcW w:w="955"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1,030,635,865</w:t>
            </w:r>
          </w:p>
        </w:tc>
        <w:tc>
          <w:tcPr>
            <w:tcW w:w="643"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311.3</w:t>
            </w:r>
          </w:p>
        </w:tc>
        <w:tc>
          <w:tcPr>
            <w:tcW w:w="1060" w:type="dxa"/>
            <w:tcBorders>
              <w:top w:val="nil"/>
              <w:left w:val="nil"/>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2,061,271,730</w:t>
            </w:r>
          </w:p>
        </w:tc>
        <w:tc>
          <w:tcPr>
            <w:tcW w:w="1134" w:type="dxa"/>
            <w:tcBorders>
              <w:top w:val="nil"/>
              <w:left w:val="single" w:sz="4" w:space="0" w:color="auto"/>
              <w:bottom w:val="single" w:sz="12"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1,254,977,530</w:t>
            </w:r>
          </w:p>
        </w:tc>
        <w:tc>
          <w:tcPr>
            <w:tcW w:w="1134" w:type="dxa"/>
            <w:tcBorders>
              <w:top w:val="nil"/>
              <w:left w:val="nil"/>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60.4</w:t>
            </w:r>
          </w:p>
        </w:tc>
        <w:tc>
          <w:tcPr>
            <w:tcW w:w="779" w:type="dxa"/>
            <w:tcBorders>
              <w:top w:val="nil"/>
              <w:left w:val="single" w:sz="4" w:space="0" w:color="auto"/>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88.63</w:t>
            </w:r>
          </w:p>
        </w:tc>
        <w:tc>
          <w:tcPr>
            <w:tcW w:w="992" w:type="dxa"/>
            <w:tcBorders>
              <w:top w:val="nil"/>
              <w:left w:val="single" w:sz="4" w:space="0" w:color="auto"/>
              <w:bottom w:val="single" w:sz="12"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34.94</w:t>
            </w:r>
          </w:p>
        </w:tc>
      </w:tr>
      <w:tr w:rsidR="0092710A" w:rsidRPr="008D520F" w:rsidTr="009169E9">
        <w:trPr>
          <w:trHeight w:val="170"/>
        </w:trPr>
        <w:tc>
          <w:tcPr>
            <w:tcW w:w="570" w:type="dxa"/>
            <w:vMerge w:val="restart"/>
            <w:tcBorders>
              <w:top w:val="single" w:sz="12" w:space="0" w:color="auto"/>
              <w:left w:val="single" w:sz="8" w:space="0" w:color="auto"/>
              <w:bottom w:val="single" w:sz="8" w:space="0" w:color="000000"/>
              <w:right w:val="single" w:sz="4"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P25</w:t>
            </w:r>
          </w:p>
        </w:tc>
        <w:tc>
          <w:tcPr>
            <w:tcW w:w="2974"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Acute kidney injury,</w:t>
            </w:r>
            <w:r w:rsidRPr="008D520F">
              <w:rPr>
                <w:rFonts w:ascii="Calibri" w:eastAsia="Times New Roman" w:hAnsi="Calibri" w:cs="Times New Roman"/>
                <w:color w:val="000000"/>
                <w:sz w:val="14"/>
                <w:lang w:val="en-GB" w:eastAsia="de-DE"/>
              </w:rPr>
              <w:br/>
              <w:t>rapid-progressive glomerulonephritis,</w:t>
            </w:r>
            <w:r w:rsidRPr="008D520F">
              <w:rPr>
                <w:rFonts w:ascii="Calibri" w:eastAsia="Times New Roman" w:hAnsi="Calibri" w:cs="Times New Roman"/>
                <w:color w:val="000000"/>
                <w:sz w:val="14"/>
                <w:lang w:val="en-GB" w:eastAsia="de-DE"/>
              </w:rPr>
              <w:br/>
              <w:t>S-Creatinin 6.83mg/dl (Ref &lt;1.1mg/dl),</w:t>
            </w:r>
            <w:r w:rsidRPr="008D520F">
              <w:rPr>
                <w:rFonts w:ascii="Calibri" w:eastAsia="Times New Roman" w:hAnsi="Calibri" w:cs="Times New Roman"/>
                <w:color w:val="000000"/>
                <w:sz w:val="14"/>
                <w:lang w:val="en-GB" w:eastAsia="de-DE"/>
              </w:rPr>
              <w:br/>
              <w:t>subsequently developed end-stage renal disease</w:t>
            </w:r>
            <w:r w:rsidRPr="008D520F">
              <w:rPr>
                <w:rFonts w:ascii="Calibri" w:eastAsia="Times New Roman" w:hAnsi="Calibri" w:cs="Times New Roman"/>
                <w:color w:val="000000"/>
                <w:sz w:val="14"/>
                <w:lang w:val="en-GB" w:eastAsia="de-DE"/>
              </w:rPr>
              <w:br/>
            </w:r>
            <w:r w:rsidRPr="008D520F">
              <w:rPr>
                <w:rFonts w:ascii="Calibri" w:eastAsia="Times New Roman" w:hAnsi="Calibri" w:cs="Times New Roman"/>
                <w:color w:val="000000"/>
                <w:sz w:val="14"/>
                <w:lang w:val="en-GB" w:eastAsia="de-DE"/>
              </w:rPr>
              <w:br/>
            </w:r>
            <w:r>
              <w:rPr>
                <w:rFonts w:ascii="Calibri" w:eastAsia="Times New Roman" w:hAnsi="Calibri" w:cs="Times New Roman"/>
                <w:color w:val="000000"/>
                <w:sz w:val="14"/>
                <w:lang w:val="en-GB" w:eastAsia="de-DE"/>
              </w:rPr>
              <w:t>Adolescent</w:t>
            </w:r>
            <w:r w:rsidRPr="008D520F">
              <w:rPr>
                <w:rFonts w:ascii="Calibri" w:eastAsia="Times New Roman" w:hAnsi="Calibri" w:cs="Times New Roman"/>
                <w:color w:val="000000"/>
                <w:sz w:val="14"/>
                <w:lang w:val="en-GB" w:eastAsia="de-DE"/>
              </w:rPr>
              <w:t xml:space="preserve"> male</w:t>
            </w:r>
          </w:p>
        </w:tc>
        <w:tc>
          <w:tcPr>
            <w:tcW w:w="1840"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P25, blood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triplicate</w:t>
            </w:r>
          </w:p>
        </w:tc>
        <w:tc>
          <w:tcPr>
            <w:tcW w:w="570"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94562</w:t>
            </w:r>
          </w:p>
        </w:tc>
        <w:tc>
          <w:tcPr>
            <w:tcW w:w="145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TAGCTT</w:t>
            </w:r>
          </w:p>
        </w:tc>
        <w:tc>
          <w:tcPr>
            <w:tcW w:w="955"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603,170,052</w:t>
            </w:r>
          </w:p>
        </w:tc>
        <w:tc>
          <w:tcPr>
            <w:tcW w:w="64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182.2</w:t>
            </w:r>
          </w:p>
        </w:tc>
        <w:tc>
          <w:tcPr>
            <w:tcW w:w="1060"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1,206,340,104</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single" w:sz="12" w:space="0" w:color="auto"/>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92.05</w:t>
            </w:r>
          </w:p>
        </w:tc>
        <w:tc>
          <w:tcPr>
            <w:tcW w:w="992" w:type="dxa"/>
            <w:tcBorders>
              <w:top w:val="single" w:sz="12" w:space="0" w:color="auto"/>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35.61</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94563</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GGCTAC</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506,214,715</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152.9</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1,012,429,430</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91.71</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35.55</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94564</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CTTGTA</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511,781,086</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154.6</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1,023,562,172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91.77</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35.56</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489.7</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2,638,721,524</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127.7</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P25, urine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triplicate</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94559</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CAGATC</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293,117,211</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88.5</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586,234,422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91.18</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35.44</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94560</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ACTTGA</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370,185,886</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111.8</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740,371,772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91.20</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35.4</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94561</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GATCAG</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338,355,011</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102.2</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676,710,022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91.57</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35.51</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302.5</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1,430,049,474</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69.2</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val="restart"/>
            <w:tcBorders>
              <w:top w:val="single" w:sz="12" w:space="0" w:color="auto"/>
              <w:left w:val="single" w:sz="8" w:space="0" w:color="auto"/>
              <w:bottom w:val="single" w:sz="8" w:space="0" w:color="000000"/>
              <w:right w:val="single" w:sz="4"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P27</w:t>
            </w:r>
          </w:p>
        </w:tc>
        <w:tc>
          <w:tcPr>
            <w:tcW w:w="2974"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Acute kidney graft dysfunction,</w:t>
            </w:r>
            <w:r w:rsidRPr="008D520F">
              <w:rPr>
                <w:rFonts w:ascii="Calibri" w:eastAsia="Times New Roman" w:hAnsi="Calibri" w:cs="Times New Roman"/>
                <w:color w:val="000000"/>
                <w:sz w:val="14"/>
                <w:lang w:val="en-GB" w:eastAsia="de-DE"/>
              </w:rPr>
              <w:br/>
              <w:t>Stage II humoral graft rejection</w:t>
            </w:r>
            <w:r w:rsidRPr="008D520F">
              <w:rPr>
                <w:rFonts w:ascii="Calibri" w:eastAsia="Times New Roman" w:hAnsi="Calibri" w:cs="Times New Roman"/>
                <w:color w:val="000000"/>
                <w:sz w:val="14"/>
                <w:lang w:val="en-GB" w:eastAsia="de-DE"/>
              </w:rPr>
              <w:br/>
              <w:t>BK-virus nephropathy</w:t>
            </w:r>
            <w:r w:rsidRPr="008D520F">
              <w:rPr>
                <w:rFonts w:ascii="Calibri" w:eastAsia="Times New Roman" w:hAnsi="Calibri" w:cs="Times New Roman"/>
                <w:color w:val="000000"/>
                <w:sz w:val="14"/>
                <w:lang w:val="en-GB" w:eastAsia="de-DE"/>
              </w:rPr>
              <w:br/>
              <w:t>S-Creatinin 1.4mg/dl → 3.1mg/dl</w:t>
            </w:r>
            <w:r w:rsidRPr="008D520F">
              <w:rPr>
                <w:rFonts w:ascii="Calibri" w:eastAsia="Times New Roman" w:hAnsi="Calibri" w:cs="Times New Roman"/>
                <w:color w:val="000000"/>
                <w:sz w:val="14"/>
                <w:lang w:val="en-GB" w:eastAsia="de-DE"/>
              </w:rPr>
              <w:br/>
            </w:r>
            <w:r w:rsidRPr="008D520F">
              <w:rPr>
                <w:rFonts w:ascii="Calibri" w:eastAsia="Times New Roman" w:hAnsi="Calibri" w:cs="Times New Roman"/>
                <w:color w:val="000000"/>
                <w:sz w:val="14"/>
                <w:lang w:val="en-GB" w:eastAsia="de-DE"/>
              </w:rPr>
              <w:br/>
            </w:r>
            <w:r>
              <w:rPr>
                <w:rFonts w:ascii="Calibri" w:eastAsia="Times New Roman" w:hAnsi="Calibri" w:cs="Times New Roman"/>
                <w:color w:val="000000"/>
                <w:sz w:val="14"/>
                <w:lang w:val="en-GB" w:eastAsia="de-DE"/>
              </w:rPr>
              <w:t>Adult</w:t>
            </w:r>
            <w:r w:rsidRPr="008D520F">
              <w:rPr>
                <w:rFonts w:ascii="Calibri" w:eastAsia="Times New Roman" w:hAnsi="Calibri" w:cs="Times New Roman"/>
                <w:color w:val="000000"/>
                <w:sz w:val="14"/>
                <w:lang w:val="en-GB" w:eastAsia="de-DE"/>
              </w:rPr>
              <w:t xml:space="preserve"> female</w:t>
            </w:r>
          </w:p>
        </w:tc>
        <w:tc>
          <w:tcPr>
            <w:tcW w:w="1840"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P27, blood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duplicate</w:t>
            </w:r>
          </w:p>
        </w:tc>
        <w:tc>
          <w:tcPr>
            <w:tcW w:w="570"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98904</w:t>
            </w:r>
          </w:p>
        </w:tc>
        <w:tc>
          <w:tcPr>
            <w:tcW w:w="145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AGTTCC</w:t>
            </w:r>
          </w:p>
        </w:tc>
        <w:tc>
          <w:tcPr>
            <w:tcW w:w="955"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286,547,663</w:t>
            </w:r>
          </w:p>
        </w:tc>
        <w:tc>
          <w:tcPr>
            <w:tcW w:w="64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86.5</w:t>
            </w:r>
          </w:p>
        </w:tc>
        <w:tc>
          <w:tcPr>
            <w:tcW w:w="1060"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573,095,326</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single" w:sz="12" w:space="0" w:color="auto"/>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90.78</w:t>
            </w:r>
          </w:p>
        </w:tc>
        <w:tc>
          <w:tcPr>
            <w:tcW w:w="992" w:type="dxa"/>
            <w:tcBorders>
              <w:top w:val="single" w:sz="12" w:space="0" w:color="auto"/>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35.35</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98905</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ATGTCA</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351,744,002</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106.2</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703,488,004</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90.50</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35.28</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192.8</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1,029,285,312</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49.8</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P27, urine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triplicate</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98900</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TGACCA</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339,111,600</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102.4</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678,223,200</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89.42</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35.04</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98901</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ACAGTG</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273,098,101</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82.5</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546,196,202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90.04</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35.18</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98902</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GCCAAT</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302,327,371</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91.3</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604,654,742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90.01</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35.18</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276.2</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1,322,457,494</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64.0</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tcBorders>
              <w:top w:val="single" w:sz="8" w:space="0" w:color="auto"/>
              <w:left w:val="single" w:sz="8" w:space="0" w:color="auto"/>
              <w:bottom w:val="single" w:sz="12"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tcBorders>
              <w:top w:val="nil"/>
              <w:left w:val="nil"/>
              <w:bottom w:val="single" w:sz="12" w:space="0" w:color="auto"/>
              <w:right w:val="single" w:sz="4"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n/a; donor</w:t>
            </w:r>
          </w:p>
        </w:tc>
        <w:tc>
          <w:tcPr>
            <w:tcW w:w="1840"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P27, donor WGS</w:t>
            </w:r>
          </w:p>
        </w:tc>
        <w:tc>
          <w:tcPr>
            <w:tcW w:w="570"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99228</w:t>
            </w:r>
          </w:p>
        </w:tc>
        <w:tc>
          <w:tcPr>
            <w:tcW w:w="1453"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TAAGTGGT+CTTAAGCC</w:t>
            </w:r>
          </w:p>
        </w:tc>
        <w:tc>
          <w:tcPr>
            <w:tcW w:w="955"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320,464,601</w:t>
            </w:r>
          </w:p>
        </w:tc>
        <w:tc>
          <w:tcPr>
            <w:tcW w:w="643" w:type="dxa"/>
            <w:tcBorders>
              <w:top w:val="nil"/>
              <w:left w:val="nil"/>
              <w:bottom w:val="single" w:sz="12"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96.8</w:t>
            </w:r>
          </w:p>
        </w:tc>
        <w:tc>
          <w:tcPr>
            <w:tcW w:w="1060" w:type="dxa"/>
            <w:tcBorders>
              <w:top w:val="nil"/>
              <w:left w:val="nil"/>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640,929,202</w:t>
            </w:r>
          </w:p>
        </w:tc>
        <w:tc>
          <w:tcPr>
            <w:tcW w:w="1134" w:type="dxa"/>
            <w:tcBorders>
              <w:top w:val="nil"/>
              <w:left w:val="single" w:sz="4" w:space="0" w:color="auto"/>
              <w:bottom w:val="single" w:sz="12"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551,138,646</w:t>
            </w:r>
          </w:p>
        </w:tc>
        <w:tc>
          <w:tcPr>
            <w:tcW w:w="1134" w:type="dxa"/>
            <w:tcBorders>
              <w:top w:val="nil"/>
              <w:left w:val="nil"/>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26.7</w:t>
            </w:r>
          </w:p>
        </w:tc>
        <w:tc>
          <w:tcPr>
            <w:tcW w:w="779" w:type="dxa"/>
            <w:tcBorders>
              <w:top w:val="nil"/>
              <w:left w:val="single" w:sz="4" w:space="0" w:color="auto"/>
              <w:bottom w:val="single" w:sz="12"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92.80</w:t>
            </w:r>
          </w:p>
        </w:tc>
        <w:tc>
          <w:tcPr>
            <w:tcW w:w="992" w:type="dxa"/>
            <w:tcBorders>
              <w:top w:val="nil"/>
              <w:left w:val="single" w:sz="4" w:space="0" w:color="auto"/>
              <w:bottom w:val="single" w:sz="12"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35.73</w:t>
            </w:r>
          </w:p>
        </w:tc>
      </w:tr>
      <w:tr w:rsidR="0092710A" w:rsidRPr="008D520F" w:rsidTr="009169E9">
        <w:trPr>
          <w:trHeight w:val="170"/>
        </w:trPr>
        <w:tc>
          <w:tcPr>
            <w:tcW w:w="570" w:type="dxa"/>
            <w:vMerge w:val="restart"/>
            <w:tcBorders>
              <w:top w:val="single" w:sz="12" w:space="0" w:color="auto"/>
              <w:left w:val="single" w:sz="8" w:space="0" w:color="auto"/>
              <w:bottom w:val="single" w:sz="8" w:space="0" w:color="000000"/>
              <w:right w:val="single" w:sz="4"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P29</w:t>
            </w:r>
          </w:p>
        </w:tc>
        <w:tc>
          <w:tcPr>
            <w:tcW w:w="2974"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Acute kidney graft dysfunction,</w:t>
            </w:r>
            <w:r w:rsidRPr="008D520F">
              <w:rPr>
                <w:rFonts w:ascii="Calibri" w:eastAsia="Times New Roman" w:hAnsi="Calibri" w:cs="Times New Roman"/>
                <w:color w:val="000000"/>
                <w:sz w:val="14"/>
                <w:lang w:val="en-GB" w:eastAsia="de-DE"/>
              </w:rPr>
              <w:br/>
              <w:t>Humoral graft rejection</w:t>
            </w:r>
            <w:r w:rsidRPr="008D520F">
              <w:rPr>
                <w:rFonts w:ascii="Calibri" w:eastAsia="Times New Roman" w:hAnsi="Calibri" w:cs="Times New Roman"/>
                <w:color w:val="000000"/>
                <w:sz w:val="14"/>
                <w:lang w:val="en-GB" w:eastAsia="de-DE"/>
              </w:rPr>
              <w:br/>
              <w:t>S-Creatinin 4.74mg/dl</w:t>
            </w:r>
            <w:r w:rsidRPr="008D520F">
              <w:rPr>
                <w:rFonts w:ascii="Calibri" w:eastAsia="Times New Roman" w:hAnsi="Calibri" w:cs="Times New Roman"/>
                <w:color w:val="000000"/>
                <w:sz w:val="14"/>
                <w:lang w:val="en-GB" w:eastAsia="de-DE"/>
              </w:rPr>
              <w:br/>
            </w:r>
            <w:r w:rsidRPr="008D520F">
              <w:rPr>
                <w:rFonts w:ascii="Calibri" w:eastAsia="Times New Roman" w:hAnsi="Calibri" w:cs="Times New Roman"/>
                <w:color w:val="000000"/>
                <w:sz w:val="14"/>
                <w:lang w:val="en-GB" w:eastAsia="de-DE"/>
              </w:rPr>
              <w:br/>
            </w:r>
            <w:r>
              <w:rPr>
                <w:rFonts w:ascii="Calibri" w:eastAsia="Times New Roman" w:hAnsi="Calibri" w:cs="Times New Roman"/>
                <w:color w:val="000000"/>
                <w:sz w:val="14"/>
                <w:lang w:val="en-GB" w:eastAsia="de-DE"/>
              </w:rPr>
              <w:t>Adult</w:t>
            </w:r>
            <w:r w:rsidRPr="008D520F">
              <w:rPr>
                <w:rFonts w:ascii="Calibri" w:eastAsia="Times New Roman" w:hAnsi="Calibri" w:cs="Times New Roman"/>
                <w:color w:val="000000"/>
                <w:sz w:val="14"/>
                <w:lang w:val="en-GB" w:eastAsia="de-DE"/>
              </w:rPr>
              <w:t xml:space="preserve"> male</w:t>
            </w:r>
          </w:p>
        </w:tc>
        <w:tc>
          <w:tcPr>
            <w:tcW w:w="1840"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P29, blood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triplicate</w:t>
            </w:r>
          </w:p>
        </w:tc>
        <w:tc>
          <w:tcPr>
            <w:tcW w:w="570"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98909</w:t>
            </w:r>
          </w:p>
        </w:tc>
        <w:tc>
          <w:tcPr>
            <w:tcW w:w="145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GTGGCC</w:t>
            </w:r>
          </w:p>
        </w:tc>
        <w:tc>
          <w:tcPr>
            <w:tcW w:w="955"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372,698,363</w:t>
            </w:r>
          </w:p>
        </w:tc>
        <w:tc>
          <w:tcPr>
            <w:tcW w:w="643" w:type="dxa"/>
            <w:tcBorders>
              <w:top w:val="single" w:sz="12" w:space="0" w:color="auto"/>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112.6</w:t>
            </w:r>
          </w:p>
        </w:tc>
        <w:tc>
          <w:tcPr>
            <w:tcW w:w="1060"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745,396,726</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single" w:sz="12" w:space="0" w:color="auto"/>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single" w:sz="12" w:space="0" w:color="auto"/>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91.80</w:t>
            </w:r>
          </w:p>
        </w:tc>
        <w:tc>
          <w:tcPr>
            <w:tcW w:w="992" w:type="dxa"/>
            <w:tcBorders>
              <w:top w:val="single" w:sz="12" w:space="0" w:color="auto"/>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35.58</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98910</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GTTTCG</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265,555,129</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80.2</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531,110,260</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91.02</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35.47</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98911</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CGTACG</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305,441,335</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92.2</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610,882,670</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91.47</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35.51</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285.0</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1,568,352,168</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75.9</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P29, urine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triplicate</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98906</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CCGTCC</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344,403,804</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104.0</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688,807,608</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90.98</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35.38</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98907</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GTCCGC</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341,104,096</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103.0</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682,208,192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91.08</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35.40</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vMerge/>
            <w:tcBorders>
              <w:top w:val="nil"/>
              <w:left w:val="single" w:sz="4" w:space="0" w:color="auto"/>
              <w:bottom w:val="single" w:sz="4" w:space="0" w:color="auto"/>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98908</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GTGAAA</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301,911,334</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91.2</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603,822,668</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90.62</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35.30</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single" w:sz="8" w:space="0" w:color="auto"/>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298.2</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1,503,182,978</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72.7</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val="restart"/>
            <w:tcBorders>
              <w:top w:val="nil"/>
              <w:left w:val="single" w:sz="4" w:space="0" w:color="auto"/>
              <w:bottom w:val="single" w:sz="4" w:space="0" w:color="000000"/>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Resampling after improvement</w:t>
            </w:r>
            <w:r w:rsidRPr="008D520F">
              <w:rPr>
                <w:rFonts w:ascii="Calibri" w:eastAsia="Times New Roman" w:hAnsi="Calibri" w:cs="Times New Roman"/>
                <w:color w:val="000000"/>
                <w:sz w:val="14"/>
                <w:lang w:val="en-GB" w:eastAsia="de-DE"/>
              </w:rPr>
              <w:br/>
              <w:t>of kidney function</w:t>
            </w:r>
          </w:p>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S-Creatinin 1.4mg/dl</w:t>
            </w: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P29, blood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single library</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99697</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CGGAAT</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1,321,615,851</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399.1</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2,643,231,702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2,142,823,336</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103.7</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91.34</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35.47</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vMerge/>
            <w:tcBorders>
              <w:top w:val="nil"/>
              <w:left w:val="single" w:sz="4" w:space="0" w:color="auto"/>
              <w:bottom w:val="single" w:sz="4"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184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 xml:space="preserve">P29, urine cfDNA, </w:t>
            </w:r>
            <w:r w:rsidRPr="008D520F">
              <w:rPr>
                <w:rFonts w:ascii="Calibri" w:eastAsia="Times New Roman" w:hAnsi="Calibri" w:cs="Times New Roman"/>
                <w:color w:val="000000"/>
                <w:sz w:val="14"/>
                <w:szCs w:val="14"/>
                <w:lang w:val="en-GB" w:eastAsia="de-DE"/>
              </w:rPr>
              <w:t>EMseq</w:t>
            </w:r>
            <w:r w:rsidRPr="008D520F">
              <w:rPr>
                <w:rFonts w:ascii="Calibri" w:eastAsia="Times New Roman" w:hAnsi="Calibri" w:cs="Times New Roman"/>
                <w:color w:val="000000"/>
                <w:sz w:val="14"/>
                <w:lang w:val="en-GB" w:eastAsia="de-DE"/>
              </w:rPr>
              <w:t>, single library</w:t>
            </w:r>
          </w:p>
        </w:tc>
        <w:tc>
          <w:tcPr>
            <w:tcW w:w="570"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99696</w:t>
            </w:r>
          </w:p>
        </w:tc>
        <w:tc>
          <w:tcPr>
            <w:tcW w:w="145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CACCGG</w:t>
            </w:r>
          </w:p>
        </w:tc>
        <w:tc>
          <w:tcPr>
            <w:tcW w:w="955"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1,173,833,146</w:t>
            </w:r>
          </w:p>
        </w:tc>
        <w:tc>
          <w:tcPr>
            <w:tcW w:w="643" w:type="dxa"/>
            <w:tcBorders>
              <w:top w:val="nil"/>
              <w:left w:val="nil"/>
              <w:bottom w:val="single" w:sz="4"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354.5</w:t>
            </w:r>
          </w:p>
        </w:tc>
        <w:tc>
          <w:tcPr>
            <w:tcW w:w="1060"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2,347,666,292</w:t>
            </w:r>
          </w:p>
        </w:tc>
        <w:tc>
          <w:tcPr>
            <w:tcW w:w="1134" w:type="dxa"/>
            <w:tcBorders>
              <w:top w:val="nil"/>
              <w:left w:val="single" w:sz="4" w:space="0" w:color="auto"/>
              <w:bottom w:val="single" w:sz="4"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1,766,694,050</w:t>
            </w:r>
          </w:p>
        </w:tc>
        <w:tc>
          <w:tcPr>
            <w:tcW w:w="1134" w:type="dxa"/>
            <w:tcBorders>
              <w:top w:val="nil"/>
              <w:left w:val="nil"/>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85.5</w:t>
            </w:r>
          </w:p>
        </w:tc>
        <w:tc>
          <w:tcPr>
            <w:tcW w:w="779" w:type="dxa"/>
            <w:tcBorders>
              <w:top w:val="nil"/>
              <w:left w:val="single" w:sz="4" w:space="0" w:color="auto"/>
              <w:bottom w:val="single" w:sz="4"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89.87</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35.15</w:t>
            </w:r>
          </w:p>
        </w:tc>
      </w:tr>
      <w:tr w:rsidR="0092710A" w:rsidRPr="008D520F" w:rsidTr="009169E9">
        <w:trPr>
          <w:trHeight w:val="17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lang w:val="en-GB" w:eastAsia="de-DE"/>
              </w:rPr>
            </w:pPr>
          </w:p>
        </w:tc>
        <w:tc>
          <w:tcPr>
            <w:tcW w:w="2974" w:type="dxa"/>
            <w:tcBorders>
              <w:top w:val="nil"/>
              <w:left w:val="nil"/>
              <w:bottom w:val="single" w:sz="8" w:space="0" w:color="auto"/>
              <w:right w:val="single" w:sz="4"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n/a; donor</w:t>
            </w:r>
          </w:p>
        </w:tc>
        <w:tc>
          <w:tcPr>
            <w:tcW w:w="1840" w:type="dxa"/>
            <w:tcBorders>
              <w:top w:val="nil"/>
              <w:left w:val="nil"/>
              <w:bottom w:val="single" w:sz="8"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P29, donor WGS</w:t>
            </w:r>
          </w:p>
        </w:tc>
        <w:tc>
          <w:tcPr>
            <w:tcW w:w="570" w:type="dxa"/>
            <w:tcBorders>
              <w:top w:val="nil"/>
              <w:left w:val="nil"/>
              <w:bottom w:val="single" w:sz="8"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98392</w:t>
            </w:r>
          </w:p>
        </w:tc>
        <w:tc>
          <w:tcPr>
            <w:tcW w:w="1453" w:type="dxa"/>
            <w:tcBorders>
              <w:top w:val="nil"/>
              <w:left w:val="nil"/>
              <w:bottom w:val="single" w:sz="8"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CGTTAGAA+TTCAGGTC</w:t>
            </w:r>
          </w:p>
        </w:tc>
        <w:tc>
          <w:tcPr>
            <w:tcW w:w="955" w:type="dxa"/>
            <w:tcBorders>
              <w:top w:val="nil"/>
              <w:left w:val="nil"/>
              <w:bottom w:val="single" w:sz="8"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213,755,717</w:t>
            </w:r>
          </w:p>
        </w:tc>
        <w:tc>
          <w:tcPr>
            <w:tcW w:w="643" w:type="dxa"/>
            <w:tcBorders>
              <w:top w:val="nil"/>
              <w:left w:val="nil"/>
              <w:bottom w:val="single" w:sz="8" w:space="0" w:color="auto"/>
              <w:right w:val="single" w:sz="4"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lang w:val="en-GB" w:eastAsia="de-DE"/>
              </w:rPr>
            </w:pPr>
            <w:r w:rsidRPr="008D520F">
              <w:rPr>
                <w:rFonts w:ascii="Calibri" w:eastAsia="Times New Roman" w:hAnsi="Calibri" w:cs="Times New Roman"/>
                <w:b/>
                <w:bCs/>
                <w:color w:val="000000"/>
                <w:sz w:val="14"/>
                <w:lang w:val="en-GB" w:eastAsia="de-DE"/>
              </w:rPr>
              <w:t>64.6</w:t>
            </w:r>
          </w:p>
        </w:tc>
        <w:tc>
          <w:tcPr>
            <w:tcW w:w="1060" w:type="dxa"/>
            <w:tcBorders>
              <w:top w:val="nil"/>
              <w:left w:val="nil"/>
              <w:bottom w:val="single" w:sz="8"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427,511,434</w:t>
            </w:r>
          </w:p>
        </w:tc>
        <w:tc>
          <w:tcPr>
            <w:tcW w:w="1134" w:type="dxa"/>
            <w:tcBorders>
              <w:top w:val="nil"/>
              <w:left w:val="single" w:sz="4" w:space="0" w:color="auto"/>
              <w:bottom w:val="single" w:sz="8" w:space="0" w:color="auto"/>
              <w:right w:val="single" w:sz="4" w:space="0" w:color="auto"/>
            </w:tcBorders>
            <w:shd w:val="clear" w:color="auto" w:fill="auto"/>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366,581,728</w:t>
            </w:r>
          </w:p>
        </w:tc>
        <w:tc>
          <w:tcPr>
            <w:tcW w:w="1134" w:type="dxa"/>
            <w:tcBorders>
              <w:top w:val="nil"/>
              <w:left w:val="nil"/>
              <w:bottom w:val="single" w:sz="8"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17.7</w:t>
            </w:r>
          </w:p>
        </w:tc>
        <w:tc>
          <w:tcPr>
            <w:tcW w:w="779" w:type="dxa"/>
            <w:tcBorders>
              <w:top w:val="nil"/>
              <w:left w:val="single" w:sz="4" w:space="0" w:color="auto"/>
              <w:bottom w:val="single" w:sz="8" w:space="0" w:color="auto"/>
              <w:right w:val="single" w:sz="4" w:space="0" w:color="auto"/>
            </w:tcBorders>
            <w:vAlign w:val="center"/>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92.12</w:t>
            </w:r>
          </w:p>
        </w:tc>
        <w:tc>
          <w:tcPr>
            <w:tcW w:w="992" w:type="dxa"/>
            <w:tcBorders>
              <w:top w:val="nil"/>
              <w:left w:val="single" w:sz="4" w:space="0" w:color="auto"/>
              <w:bottom w:val="single" w:sz="8"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lang w:val="en-GB" w:eastAsia="de-DE"/>
              </w:rPr>
            </w:pPr>
            <w:r w:rsidRPr="008D520F">
              <w:rPr>
                <w:rFonts w:ascii="Calibri" w:eastAsia="Times New Roman" w:hAnsi="Calibri" w:cs="Times New Roman"/>
                <w:color w:val="000000"/>
                <w:sz w:val="14"/>
                <w:lang w:val="en-GB" w:eastAsia="de-DE"/>
              </w:rPr>
              <w:t>35.62</w:t>
            </w:r>
          </w:p>
        </w:tc>
      </w:tr>
    </w:tbl>
    <w:p w:rsidR="0092710A" w:rsidRPr="008D520F" w:rsidRDefault="0092710A" w:rsidP="0092710A">
      <w:pPr>
        <w:jc w:val="both"/>
        <w:rPr>
          <w:sz w:val="20"/>
          <w:lang w:val="en-GB"/>
        </w:rPr>
        <w:sectPr w:rsidR="0092710A" w:rsidRPr="008D520F" w:rsidSect="008A6D9A">
          <w:pgSz w:w="15840" w:h="12240" w:orient="landscape" w:code="1"/>
          <w:pgMar w:top="720" w:right="720" w:bottom="720" w:left="720" w:header="0" w:footer="0" w:gutter="0"/>
          <w:cols w:space="708"/>
          <w:docGrid w:linePitch="360"/>
        </w:sectPr>
      </w:pPr>
    </w:p>
    <w:p w:rsidR="0092710A" w:rsidRPr="008D520F" w:rsidRDefault="0092710A" w:rsidP="0092710A">
      <w:pPr>
        <w:spacing w:after="40"/>
        <w:jc w:val="both"/>
        <w:rPr>
          <w:sz w:val="20"/>
          <w:lang w:val="en-GB"/>
        </w:rPr>
      </w:pPr>
      <w:r w:rsidRPr="008D520F">
        <w:rPr>
          <w:sz w:val="20"/>
          <w:lang w:val="en-GB"/>
        </w:rPr>
        <w:lastRenderedPageBreak/>
        <w:t xml:space="preserve">Table </w:t>
      </w:r>
      <w:r>
        <w:rPr>
          <w:sz w:val="20"/>
          <w:lang w:val="en-GB"/>
        </w:rPr>
        <w:t>S8</w:t>
      </w:r>
      <w:r w:rsidRPr="008D520F">
        <w:rPr>
          <w:sz w:val="20"/>
          <w:lang w:val="en-GB"/>
        </w:rPr>
        <w:t xml:space="preserve">: Sequencing and associated clinical data for each sample in this study, </w:t>
      </w:r>
      <w:r>
        <w:rPr>
          <w:sz w:val="20"/>
          <w:lang w:val="en-GB"/>
        </w:rPr>
        <w:t>replication cohort</w:t>
      </w:r>
      <w:r w:rsidRPr="008D520F">
        <w:rPr>
          <w:sz w:val="20"/>
          <w:lang w:val="en-GB"/>
        </w:rPr>
        <w:t>.</w:t>
      </w:r>
    </w:p>
    <w:tbl>
      <w:tblPr>
        <w:tblW w:w="13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
        <w:gridCol w:w="2972"/>
        <w:gridCol w:w="1418"/>
        <w:gridCol w:w="570"/>
        <w:gridCol w:w="1493"/>
        <w:gridCol w:w="913"/>
        <w:gridCol w:w="643"/>
        <w:gridCol w:w="1058"/>
        <w:gridCol w:w="1058"/>
        <w:gridCol w:w="1058"/>
        <w:gridCol w:w="709"/>
        <w:gridCol w:w="1026"/>
      </w:tblGrid>
      <w:tr w:rsidR="0092710A" w:rsidRPr="008D520F" w:rsidTr="009169E9">
        <w:trPr>
          <w:trHeight w:val="50"/>
        </w:trPr>
        <w:tc>
          <w:tcPr>
            <w:tcW w:w="572" w:type="dxa"/>
            <w:tcBorders>
              <w:top w:val="single" w:sz="8" w:space="0" w:color="auto"/>
              <w:left w:val="single" w:sz="8" w:space="0" w:color="auto"/>
              <w:bottom w:val="single" w:sz="8"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Sample name</w:t>
            </w:r>
          </w:p>
        </w:tc>
        <w:tc>
          <w:tcPr>
            <w:tcW w:w="2972" w:type="dxa"/>
            <w:tcBorders>
              <w:top w:val="single" w:sz="8" w:space="0" w:color="auto"/>
              <w:bottom w:val="single" w:sz="8"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Clinical data</w:t>
            </w:r>
          </w:p>
        </w:tc>
        <w:tc>
          <w:tcPr>
            <w:tcW w:w="1418" w:type="dxa"/>
            <w:tcBorders>
              <w:top w:val="single" w:sz="8"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Sample description</w:t>
            </w:r>
          </w:p>
        </w:tc>
        <w:tc>
          <w:tcPr>
            <w:tcW w:w="570" w:type="dxa"/>
            <w:tcBorders>
              <w:top w:val="single" w:sz="8"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Sample ID</w:t>
            </w:r>
          </w:p>
        </w:tc>
        <w:tc>
          <w:tcPr>
            <w:tcW w:w="1493" w:type="dxa"/>
            <w:tcBorders>
              <w:top w:val="single" w:sz="8"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Barcode sequence</w:t>
            </w:r>
          </w:p>
        </w:tc>
        <w:tc>
          <w:tcPr>
            <w:tcW w:w="913" w:type="dxa"/>
            <w:tcBorders>
              <w:top w:val="single" w:sz="8"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PF Clusters</w:t>
            </w:r>
          </w:p>
        </w:tc>
        <w:tc>
          <w:tcPr>
            <w:tcW w:w="643" w:type="dxa"/>
            <w:tcBorders>
              <w:top w:val="single" w:sz="8"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Yield (Gbases)</w:t>
            </w:r>
          </w:p>
        </w:tc>
        <w:tc>
          <w:tcPr>
            <w:tcW w:w="1058" w:type="dxa"/>
            <w:tcBorders>
              <w:top w:val="single" w:sz="8" w:space="0" w:color="auto"/>
              <w:bottom w:val="single" w:sz="8" w:space="0" w:color="auto"/>
            </w:tcBorders>
            <w:vAlign w:val="center"/>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PE reads for alignment</w:t>
            </w:r>
          </w:p>
        </w:tc>
        <w:tc>
          <w:tcPr>
            <w:tcW w:w="1058" w:type="dxa"/>
            <w:tcBorders>
              <w:top w:val="single" w:sz="8" w:space="0" w:color="auto"/>
              <w:bottom w:val="single" w:sz="8" w:space="0" w:color="auto"/>
            </w:tcBorders>
            <w:vAlign w:val="center"/>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Uniquely mapped reads</w:t>
            </w:r>
          </w:p>
        </w:tc>
        <w:tc>
          <w:tcPr>
            <w:tcW w:w="1058" w:type="dxa"/>
            <w:tcBorders>
              <w:top w:val="single" w:sz="8" w:space="0" w:color="auto"/>
              <w:bottom w:val="single" w:sz="8" w:space="0" w:color="auto"/>
            </w:tcBorders>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Estimated hg19 coverage</w:t>
            </w:r>
          </w:p>
        </w:tc>
        <w:tc>
          <w:tcPr>
            <w:tcW w:w="709" w:type="dxa"/>
            <w:tcBorders>
              <w:top w:val="single" w:sz="8"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 &gt;= Q30</w:t>
            </w:r>
          </w:p>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bases</w:t>
            </w:r>
          </w:p>
        </w:tc>
        <w:tc>
          <w:tcPr>
            <w:tcW w:w="1026" w:type="dxa"/>
            <w:tcBorders>
              <w:top w:val="single" w:sz="8" w:space="0" w:color="auto"/>
              <w:bottom w:val="single" w:sz="8" w:space="0" w:color="auto"/>
              <w:right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Mean Quality</w:t>
            </w:r>
          </w:p>
          <w:p w:rsidR="0092710A" w:rsidRPr="008D520F" w:rsidRDefault="0092710A" w:rsidP="009169E9">
            <w:pPr>
              <w:spacing w:after="0" w:line="240" w:lineRule="auto"/>
              <w:jc w:val="center"/>
              <w:rPr>
                <w:rFonts w:ascii="Calibri" w:eastAsia="Times New Roman" w:hAnsi="Calibri" w:cs="Times New Roman"/>
                <w:b/>
                <w:bCs/>
                <w:color w:val="000000"/>
                <w:sz w:val="14"/>
                <w:szCs w:val="14"/>
                <w:lang w:val="en-GB" w:eastAsia="de-DE"/>
              </w:rPr>
            </w:pPr>
            <w:r w:rsidRPr="008D520F">
              <w:rPr>
                <w:rFonts w:ascii="Calibri" w:eastAsia="Times New Roman" w:hAnsi="Calibri" w:cs="Times New Roman"/>
                <w:b/>
                <w:bCs/>
                <w:color w:val="000000"/>
                <w:sz w:val="14"/>
                <w:szCs w:val="14"/>
                <w:lang w:val="en-GB" w:eastAsia="de-DE"/>
              </w:rPr>
              <w:t>Score</w:t>
            </w:r>
          </w:p>
        </w:tc>
      </w:tr>
      <w:tr w:rsidR="0092710A" w:rsidRPr="008D520F" w:rsidTr="009169E9">
        <w:trPr>
          <w:trHeight w:val="170"/>
        </w:trPr>
        <w:tc>
          <w:tcPr>
            <w:tcW w:w="572" w:type="dxa"/>
            <w:vMerge w:val="restart"/>
            <w:tcBorders>
              <w:top w:val="single" w:sz="8" w:space="0" w:color="auto"/>
              <w:left w:val="single" w:sz="8"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K19</w:t>
            </w:r>
          </w:p>
        </w:tc>
        <w:tc>
          <w:tcPr>
            <w:tcW w:w="2972" w:type="dxa"/>
            <w:vMerge w:val="restart"/>
            <w:tcBorders>
              <w:top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Healthy</w:t>
            </w: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br/>
            </w:r>
            <w:r>
              <w:rPr>
                <w:rFonts w:ascii="Calibri" w:eastAsia="Times New Roman" w:hAnsi="Calibri" w:cs="Times New Roman"/>
                <w:color w:val="000000"/>
                <w:sz w:val="14"/>
                <w:szCs w:val="14"/>
                <w:lang w:val="en-GB" w:eastAsia="de-DE"/>
              </w:rPr>
              <w:t>Adult</w:t>
            </w:r>
            <w:r w:rsidRPr="008D520F">
              <w:rPr>
                <w:rFonts w:ascii="Calibri" w:eastAsia="Times New Roman" w:hAnsi="Calibri" w:cs="Times New Roman"/>
                <w:color w:val="000000"/>
                <w:sz w:val="14"/>
                <w:szCs w:val="14"/>
                <w:lang w:val="en-GB" w:eastAsia="de-DE"/>
              </w:rPr>
              <w:t xml:space="preserve"> male</w:t>
            </w:r>
          </w:p>
        </w:tc>
        <w:tc>
          <w:tcPr>
            <w:tcW w:w="1418" w:type="dxa"/>
            <w:tcBorders>
              <w:top w:val="single" w:sz="8"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K19, blood cfDNA, EMseq</w:t>
            </w:r>
          </w:p>
        </w:tc>
        <w:tc>
          <w:tcPr>
            <w:tcW w:w="570" w:type="dxa"/>
            <w:tcBorders>
              <w:top w:val="single" w:sz="8"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115150</w:t>
            </w:r>
          </w:p>
        </w:tc>
        <w:tc>
          <w:tcPr>
            <w:tcW w:w="1493" w:type="dxa"/>
            <w:tcBorders>
              <w:top w:val="single" w:sz="8"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TGATAGGC+GTCTGAGT</w:t>
            </w:r>
          </w:p>
        </w:tc>
        <w:tc>
          <w:tcPr>
            <w:tcW w:w="913" w:type="dxa"/>
            <w:tcBorders>
              <w:top w:val="single" w:sz="8"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364,781,559</w:t>
            </w:r>
          </w:p>
        </w:tc>
        <w:tc>
          <w:tcPr>
            <w:tcW w:w="643" w:type="dxa"/>
            <w:tcBorders>
              <w:top w:val="single" w:sz="8" w:space="0" w:color="auto"/>
            </w:tcBorders>
            <w:shd w:val="clear" w:color="auto" w:fill="auto"/>
            <w:vAlign w:val="center"/>
            <w:hideMark/>
          </w:tcPr>
          <w:p w:rsidR="0092710A" w:rsidRPr="005853BF" w:rsidRDefault="0092710A" w:rsidP="009169E9">
            <w:pPr>
              <w:spacing w:before="60" w:after="60" w:line="240" w:lineRule="auto"/>
              <w:jc w:val="center"/>
              <w:rPr>
                <w:rFonts w:ascii="Calibri" w:eastAsia="Times New Roman" w:hAnsi="Calibri" w:cs="Times New Roman"/>
                <w:b/>
                <w:color w:val="000000"/>
                <w:sz w:val="14"/>
                <w:szCs w:val="14"/>
                <w:lang w:val="en-GB" w:eastAsia="de-DE"/>
              </w:rPr>
            </w:pPr>
            <w:r w:rsidRPr="005853BF">
              <w:rPr>
                <w:b/>
                <w:sz w:val="14"/>
                <w:szCs w:val="14"/>
                <w:lang w:val="en-GB"/>
              </w:rPr>
              <w:t>110.2</w:t>
            </w:r>
          </w:p>
        </w:tc>
        <w:tc>
          <w:tcPr>
            <w:tcW w:w="1058" w:type="dxa"/>
            <w:tcBorders>
              <w:top w:val="single" w:sz="8"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729,563,118</w:t>
            </w:r>
          </w:p>
        </w:tc>
        <w:tc>
          <w:tcPr>
            <w:tcW w:w="1058" w:type="dxa"/>
            <w:tcBorders>
              <w:top w:val="single" w:sz="8"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596,098,448</w:t>
            </w:r>
          </w:p>
        </w:tc>
        <w:tc>
          <w:tcPr>
            <w:tcW w:w="1058" w:type="dxa"/>
            <w:tcBorders>
              <w:top w:val="single" w:sz="8"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28.8</w:t>
            </w:r>
          </w:p>
        </w:tc>
        <w:tc>
          <w:tcPr>
            <w:tcW w:w="709" w:type="dxa"/>
            <w:tcBorders>
              <w:top w:val="single" w:sz="8"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90.97</w:t>
            </w:r>
          </w:p>
        </w:tc>
        <w:tc>
          <w:tcPr>
            <w:tcW w:w="1026" w:type="dxa"/>
            <w:tcBorders>
              <w:top w:val="single" w:sz="8" w:space="0" w:color="auto"/>
              <w:right w:val="single" w:sz="8"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35.41</w:t>
            </w:r>
          </w:p>
        </w:tc>
      </w:tr>
      <w:tr w:rsidR="0092710A" w:rsidRPr="008D520F" w:rsidTr="009169E9">
        <w:trPr>
          <w:trHeight w:val="170"/>
        </w:trPr>
        <w:tc>
          <w:tcPr>
            <w:tcW w:w="572" w:type="dxa"/>
            <w:vMerge/>
            <w:tcBorders>
              <w:left w:val="single" w:sz="8" w:space="0" w:color="auto"/>
              <w:bottom w:val="single" w:sz="12"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szCs w:val="14"/>
                <w:lang w:val="en-GB" w:eastAsia="de-DE"/>
              </w:rPr>
            </w:pPr>
          </w:p>
        </w:tc>
        <w:tc>
          <w:tcPr>
            <w:tcW w:w="2972" w:type="dxa"/>
            <w:vMerge/>
            <w:tcBorders>
              <w:bottom w:val="single" w:sz="12" w:space="0" w:color="auto"/>
            </w:tcBorders>
            <w:vAlign w:val="center"/>
            <w:hideMark/>
          </w:tcPr>
          <w:p w:rsidR="0092710A" w:rsidRPr="008D520F" w:rsidRDefault="0092710A" w:rsidP="009169E9">
            <w:pPr>
              <w:spacing w:before="120" w:after="120" w:line="240" w:lineRule="auto"/>
              <w:rPr>
                <w:rFonts w:ascii="Calibri" w:eastAsia="Times New Roman" w:hAnsi="Calibri" w:cs="Times New Roman"/>
                <w:color w:val="000000"/>
                <w:sz w:val="14"/>
                <w:szCs w:val="14"/>
                <w:lang w:val="en-GB" w:eastAsia="de-DE"/>
              </w:rPr>
            </w:pPr>
          </w:p>
        </w:tc>
        <w:tc>
          <w:tcPr>
            <w:tcW w:w="1418"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K19, blood cfDNA, Bisulfite conversion</w:t>
            </w:r>
          </w:p>
        </w:tc>
        <w:tc>
          <w:tcPr>
            <w:tcW w:w="570"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115133</w:t>
            </w:r>
          </w:p>
        </w:tc>
        <w:tc>
          <w:tcPr>
            <w:tcW w:w="1493"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CACTGTAG+AAGCGACT</w:t>
            </w:r>
          </w:p>
        </w:tc>
        <w:tc>
          <w:tcPr>
            <w:tcW w:w="913"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868,501,224</w:t>
            </w:r>
          </w:p>
        </w:tc>
        <w:tc>
          <w:tcPr>
            <w:tcW w:w="643" w:type="dxa"/>
            <w:tcBorders>
              <w:bottom w:val="single" w:sz="12" w:space="0" w:color="auto"/>
            </w:tcBorders>
            <w:shd w:val="clear" w:color="auto" w:fill="auto"/>
            <w:vAlign w:val="center"/>
            <w:hideMark/>
          </w:tcPr>
          <w:p w:rsidR="0092710A" w:rsidRPr="005853BF" w:rsidRDefault="0092710A" w:rsidP="009169E9">
            <w:pPr>
              <w:spacing w:before="60" w:after="60" w:line="240" w:lineRule="auto"/>
              <w:jc w:val="center"/>
              <w:rPr>
                <w:rFonts w:ascii="Calibri" w:eastAsia="Times New Roman" w:hAnsi="Calibri" w:cs="Times New Roman"/>
                <w:b/>
                <w:color w:val="000000"/>
                <w:sz w:val="14"/>
                <w:szCs w:val="14"/>
                <w:lang w:val="en-GB" w:eastAsia="de-DE"/>
              </w:rPr>
            </w:pPr>
            <w:r w:rsidRPr="005853BF">
              <w:rPr>
                <w:b/>
                <w:sz w:val="14"/>
                <w:szCs w:val="14"/>
                <w:lang w:val="en-GB"/>
              </w:rPr>
              <w:t>262.3</w:t>
            </w:r>
          </w:p>
        </w:tc>
        <w:tc>
          <w:tcPr>
            <w:tcW w:w="1058" w:type="dxa"/>
            <w:tcBorders>
              <w:bottom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729,563,118*</w:t>
            </w:r>
          </w:p>
        </w:tc>
        <w:tc>
          <w:tcPr>
            <w:tcW w:w="1058" w:type="dxa"/>
            <w:tcBorders>
              <w:bottom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565,730,072</w:t>
            </w:r>
          </w:p>
        </w:tc>
        <w:tc>
          <w:tcPr>
            <w:tcW w:w="1058" w:type="dxa"/>
            <w:tcBorders>
              <w:bottom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27.4</w:t>
            </w:r>
          </w:p>
        </w:tc>
        <w:tc>
          <w:tcPr>
            <w:tcW w:w="709"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91.58</w:t>
            </w:r>
          </w:p>
        </w:tc>
        <w:tc>
          <w:tcPr>
            <w:tcW w:w="1026" w:type="dxa"/>
            <w:tcBorders>
              <w:bottom w:val="single" w:sz="12" w:space="0" w:color="auto"/>
              <w:right w:val="single" w:sz="8"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35.52</w:t>
            </w:r>
          </w:p>
        </w:tc>
      </w:tr>
      <w:tr w:rsidR="0092710A" w:rsidRPr="008D520F" w:rsidTr="009169E9">
        <w:trPr>
          <w:trHeight w:val="170"/>
        </w:trPr>
        <w:tc>
          <w:tcPr>
            <w:tcW w:w="572" w:type="dxa"/>
            <w:vMerge w:val="restart"/>
            <w:tcBorders>
              <w:top w:val="single" w:sz="12" w:space="0" w:color="auto"/>
              <w:left w:val="single" w:sz="8"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K20</w:t>
            </w:r>
          </w:p>
        </w:tc>
        <w:tc>
          <w:tcPr>
            <w:tcW w:w="2972" w:type="dxa"/>
            <w:vMerge w:val="restart"/>
            <w:tcBorders>
              <w:top w:val="single" w:sz="12" w:space="0" w:color="auto"/>
            </w:tcBorders>
            <w:shd w:val="clear" w:color="auto" w:fill="auto"/>
            <w:vAlign w:val="center"/>
            <w:hideMark/>
          </w:tcPr>
          <w:p w:rsidR="0092710A"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Healthy</w:t>
            </w: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Pr>
                <w:rFonts w:ascii="Calibri" w:eastAsia="Times New Roman" w:hAnsi="Calibri" w:cs="Times New Roman"/>
                <w:color w:val="000000"/>
                <w:sz w:val="14"/>
                <w:szCs w:val="14"/>
                <w:lang w:val="en-GB" w:eastAsia="de-DE"/>
              </w:rPr>
              <w:t>Adult</w:t>
            </w:r>
            <w:r w:rsidRPr="008D520F">
              <w:rPr>
                <w:rFonts w:ascii="Calibri" w:eastAsia="Times New Roman" w:hAnsi="Calibri" w:cs="Times New Roman"/>
                <w:color w:val="000000"/>
                <w:sz w:val="14"/>
                <w:szCs w:val="14"/>
                <w:lang w:val="en-GB" w:eastAsia="de-DE"/>
              </w:rPr>
              <w:t xml:space="preserve"> male</w:t>
            </w:r>
          </w:p>
        </w:tc>
        <w:tc>
          <w:tcPr>
            <w:tcW w:w="1418"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K20, blood cfDNA, EMseq</w:t>
            </w:r>
          </w:p>
        </w:tc>
        <w:tc>
          <w:tcPr>
            <w:tcW w:w="570"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115151</w:t>
            </w:r>
          </w:p>
        </w:tc>
        <w:tc>
          <w:tcPr>
            <w:tcW w:w="1493"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ACGAATCC+ATTACCCA</w:t>
            </w:r>
          </w:p>
        </w:tc>
        <w:tc>
          <w:tcPr>
            <w:tcW w:w="913"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482,087,641</w:t>
            </w:r>
          </w:p>
        </w:tc>
        <w:tc>
          <w:tcPr>
            <w:tcW w:w="643" w:type="dxa"/>
            <w:tcBorders>
              <w:top w:val="single" w:sz="12" w:space="0" w:color="auto"/>
            </w:tcBorders>
            <w:shd w:val="clear" w:color="auto" w:fill="auto"/>
            <w:vAlign w:val="center"/>
            <w:hideMark/>
          </w:tcPr>
          <w:p w:rsidR="0092710A" w:rsidRPr="005853BF" w:rsidRDefault="0092710A" w:rsidP="009169E9">
            <w:pPr>
              <w:spacing w:before="60" w:after="60" w:line="240" w:lineRule="auto"/>
              <w:jc w:val="center"/>
              <w:rPr>
                <w:rFonts w:ascii="Calibri" w:eastAsia="Times New Roman" w:hAnsi="Calibri" w:cs="Times New Roman"/>
                <w:b/>
                <w:color w:val="000000"/>
                <w:sz w:val="14"/>
                <w:szCs w:val="14"/>
                <w:lang w:val="en-GB" w:eastAsia="de-DE"/>
              </w:rPr>
            </w:pPr>
            <w:r w:rsidRPr="005853BF">
              <w:rPr>
                <w:b/>
                <w:sz w:val="14"/>
                <w:szCs w:val="14"/>
                <w:lang w:val="en-GB"/>
              </w:rPr>
              <w:t>145.6</w:t>
            </w:r>
          </w:p>
        </w:tc>
        <w:tc>
          <w:tcPr>
            <w:tcW w:w="1058" w:type="dxa"/>
            <w:tcBorders>
              <w:top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964,175,282</w:t>
            </w:r>
          </w:p>
        </w:tc>
        <w:tc>
          <w:tcPr>
            <w:tcW w:w="1058" w:type="dxa"/>
            <w:tcBorders>
              <w:top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782,437,800</w:t>
            </w:r>
          </w:p>
        </w:tc>
        <w:tc>
          <w:tcPr>
            <w:tcW w:w="1058" w:type="dxa"/>
            <w:tcBorders>
              <w:top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37.9</w:t>
            </w:r>
          </w:p>
        </w:tc>
        <w:tc>
          <w:tcPr>
            <w:tcW w:w="709"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91.40</w:t>
            </w:r>
          </w:p>
        </w:tc>
        <w:tc>
          <w:tcPr>
            <w:tcW w:w="1026" w:type="dxa"/>
            <w:tcBorders>
              <w:top w:val="single" w:sz="12" w:space="0" w:color="auto"/>
              <w:right w:val="single" w:sz="8"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35.47</w:t>
            </w:r>
          </w:p>
        </w:tc>
      </w:tr>
      <w:tr w:rsidR="0092710A" w:rsidRPr="008D520F" w:rsidTr="009169E9">
        <w:trPr>
          <w:trHeight w:val="170"/>
        </w:trPr>
        <w:tc>
          <w:tcPr>
            <w:tcW w:w="572" w:type="dxa"/>
            <w:vMerge/>
            <w:tcBorders>
              <w:left w:val="single" w:sz="8" w:space="0" w:color="auto"/>
              <w:bottom w:val="single" w:sz="12"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szCs w:val="14"/>
                <w:lang w:val="en-GB" w:eastAsia="de-DE"/>
              </w:rPr>
            </w:pPr>
          </w:p>
        </w:tc>
        <w:tc>
          <w:tcPr>
            <w:tcW w:w="2972" w:type="dxa"/>
            <w:vMerge/>
            <w:tcBorders>
              <w:bottom w:val="single" w:sz="12" w:space="0" w:color="auto"/>
            </w:tcBorders>
            <w:vAlign w:val="center"/>
            <w:hideMark/>
          </w:tcPr>
          <w:p w:rsidR="0092710A" w:rsidRPr="008D520F" w:rsidRDefault="0092710A" w:rsidP="009169E9">
            <w:pPr>
              <w:spacing w:before="120" w:after="120" w:line="240" w:lineRule="auto"/>
              <w:rPr>
                <w:rFonts w:ascii="Calibri" w:eastAsia="Times New Roman" w:hAnsi="Calibri" w:cs="Times New Roman"/>
                <w:color w:val="000000"/>
                <w:sz w:val="14"/>
                <w:szCs w:val="14"/>
                <w:lang w:val="en-GB" w:eastAsia="de-DE"/>
              </w:rPr>
            </w:pPr>
          </w:p>
        </w:tc>
        <w:tc>
          <w:tcPr>
            <w:tcW w:w="1418"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K20, blood cfDNA, Bisulfite conversion</w:t>
            </w:r>
          </w:p>
        </w:tc>
        <w:tc>
          <w:tcPr>
            <w:tcW w:w="570"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115134</w:t>
            </w:r>
          </w:p>
        </w:tc>
        <w:tc>
          <w:tcPr>
            <w:tcW w:w="1493"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GTGCACGA+TGATAGGC</w:t>
            </w:r>
          </w:p>
        </w:tc>
        <w:tc>
          <w:tcPr>
            <w:tcW w:w="913"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772,226,816</w:t>
            </w:r>
          </w:p>
        </w:tc>
        <w:tc>
          <w:tcPr>
            <w:tcW w:w="643" w:type="dxa"/>
            <w:tcBorders>
              <w:bottom w:val="single" w:sz="12" w:space="0" w:color="auto"/>
            </w:tcBorders>
            <w:shd w:val="clear" w:color="auto" w:fill="auto"/>
            <w:vAlign w:val="center"/>
            <w:hideMark/>
          </w:tcPr>
          <w:p w:rsidR="0092710A" w:rsidRPr="005853BF" w:rsidRDefault="0092710A" w:rsidP="009169E9">
            <w:pPr>
              <w:spacing w:before="60" w:after="60" w:line="240" w:lineRule="auto"/>
              <w:jc w:val="center"/>
              <w:rPr>
                <w:rFonts w:ascii="Calibri" w:eastAsia="Times New Roman" w:hAnsi="Calibri" w:cs="Times New Roman"/>
                <w:b/>
                <w:color w:val="000000"/>
                <w:sz w:val="14"/>
                <w:szCs w:val="14"/>
                <w:lang w:val="en-GB" w:eastAsia="de-DE"/>
              </w:rPr>
            </w:pPr>
            <w:r w:rsidRPr="005853BF">
              <w:rPr>
                <w:b/>
                <w:sz w:val="14"/>
                <w:szCs w:val="14"/>
                <w:lang w:val="en-GB"/>
              </w:rPr>
              <w:t>233.2</w:t>
            </w:r>
          </w:p>
        </w:tc>
        <w:tc>
          <w:tcPr>
            <w:tcW w:w="1058" w:type="dxa"/>
            <w:tcBorders>
              <w:bottom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964,175,282*</w:t>
            </w:r>
          </w:p>
        </w:tc>
        <w:tc>
          <w:tcPr>
            <w:tcW w:w="1058" w:type="dxa"/>
            <w:tcBorders>
              <w:bottom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748,270,032</w:t>
            </w:r>
          </w:p>
        </w:tc>
        <w:tc>
          <w:tcPr>
            <w:tcW w:w="1058" w:type="dxa"/>
            <w:tcBorders>
              <w:bottom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36.2</w:t>
            </w:r>
          </w:p>
        </w:tc>
        <w:tc>
          <w:tcPr>
            <w:tcW w:w="709"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91.39</w:t>
            </w:r>
          </w:p>
        </w:tc>
        <w:tc>
          <w:tcPr>
            <w:tcW w:w="1026" w:type="dxa"/>
            <w:tcBorders>
              <w:bottom w:val="single" w:sz="12" w:space="0" w:color="auto"/>
              <w:right w:val="single" w:sz="8"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35.48</w:t>
            </w:r>
          </w:p>
        </w:tc>
      </w:tr>
      <w:tr w:rsidR="0092710A" w:rsidRPr="008D520F" w:rsidTr="009169E9">
        <w:trPr>
          <w:trHeight w:val="170"/>
        </w:trPr>
        <w:tc>
          <w:tcPr>
            <w:tcW w:w="572" w:type="dxa"/>
            <w:vMerge w:val="restart"/>
            <w:tcBorders>
              <w:top w:val="single" w:sz="12" w:space="0" w:color="auto"/>
              <w:left w:val="single" w:sz="8"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K21</w:t>
            </w:r>
          </w:p>
        </w:tc>
        <w:tc>
          <w:tcPr>
            <w:tcW w:w="2972" w:type="dxa"/>
            <w:vMerge w:val="restart"/>
            <w:tcBorders>
              <w:top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Healthy</w:t>
            </w: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br/>
            </w:r>
            <w:r>
              <w:rPr>
                <w:rFonts w:ascii="Calibri" w:eastAsia="Times New Roman" w:hAnsi="Calibri" w:cs="Times New Roman"/>
                <w:color w:val="000000"/>
                <w:sz w:val="14"/>
                <w:szCs w:val="14"/>
                <w:lang w:val="en-GB" w:eastAsia="de-DE"/>
              </w:rPr>
              <w:t>Adult</w:t>
            </w:r>
            <w:r w:rsidRPr="008D520F">
              <w:rPr>
                <w:rFonts w:ascii="Calibri" w:eastAsia="Times New Roman" w:hAnsi="Calibri" w:cs="Times New Roman"/>
                <w:color w:val="000000"/>
                <w:sz w:val="14"/>
                <w:szCs w:val="14"/>
                <w:lang w:val="en-GB" w:eastAsia="de-DE"/>
              </w:rPr>
              <w:t xml:space="preserve"> male</w:t>
            </w:r>
          </w:p>
        </w:tc>
        <w:tc>
          <w:tcPr>
            <w:tcW w:w="1418"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K21, blood cfDNA, EMseq</w:t>
            </w:r>
          </w:p>
        </w:tc>
        <w:tc>
          <w:tcPr>
            <w:tcW w:w="570"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115152</w:t>
            </w:r>
          </w:p>
        </w:tc>
        <w:tc>
          <w:tcPr>
            <w:tcW w:w="1493"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GTCTGAGT+GACTTGTG</w:t>
            </w:r>
          </w:p>
        </w:tc>
        <w:tc>
          <w:tcPr>
            <w:tcW w:w="913"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430,295,348</w:t>
            </w:r>
          </w:p>
        </w:tc>
        <w:tc>
          <w:tcPr>
            <w:tcW w:w="643" w:type="dxa"/>
            <w:tcBorders>
              <w:top w:val="single" w:sz="12" w:space="0" w:color="auto"/>
            </w:tcBorders>
            <w:shd w:val="clear" w:color="auto" w:fill="auto"/>
            <w:vAlign w:val="center"/>
            <w:hideMark/>
          </w:tcPr>
          <w:p w:rsidR="0092710A" w:rsidRPr="005853BF" w:rsidRDefault="0092710A" w:rsidP="009169E9">
            <w:pPr>
              <w:spacing w:before="60" w:after="60" w:line="240" w:lineRule="auto"/>
              <w:jc w:val="center"/>
              <w:rPr>
                <w:rFonts w:ascii="Calibri" w:eastAsia="Times New Roman" w:hAnsi="Calibri" w:cs="Times New Roman"/>
                <w:b/>
                <w:color w:val="000000"/>
                <w:sz w:val="14"/>
                <w:szCs w:val="14"/>
                <w:lang w:val="en-GB" w:eastAsia="de-DE"/>
              </w:rPr>
            </w:pPr>
            <w:r w:rsidRPr="005853BF">
              <w:rPr>
                <w:b/>
                <w:sz w:val="14"/>
                <w:szCs w:val="14"/>
                <w:lang w:val="en-GB"/>
              </w:rPr>
              <w:t>129.9</w:t>
            </w:r>
          </w:p>
        </w:tc>
        <w:tc>
          <w:tcPr>
            <w:tcW w:w="1058" w:type="dxa"/>
            <w:tcBorders>
              <w:top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860,590,696</w:t>
            </w:r>
          </w:p>
        </w:tc>
        <w:tc>
          <w:tcPr>
            <w:tcW w:w="1058" w:type="dxa"/>
            <w:tcBorders>
              <w:top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710,488,340</w:t>
            </w:r>
          </w:p>
        </w:tc>
        <w:tc>
          <w:tcPr>
            <w:tcW w:w="1058" w:type="dxa"/>
            <w:tcBorders>
              <w:top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34.4</w:t>
            </w:r>
          </w:p>
        </w:tc>
        <w:tc>
          <w:tcPr>
            <w:tcW w:w="709" w:type="dxa"/>
            <w:tcBorders>
              <w:top w:val="single" w:sz="12"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92.17</w:t>
            </w:r>
          </w:p>
        </w:tc>
        <w:tc>
          <w:tcPr>
            <w:tcW w:w="1026" w:type="dxa"/>
            <w:tcBorders>
              <w:top w:val="single" w:sz="12" w:space="0" w:color="auto"/>
              <w:right w:val="single" w:sz="8"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35.63</w:t>
            </w:r>
          </w:p>
        </w:tc>
      </w:tr>
      <w:tr w:rsidR="0092710A" w:rsidRPr="008D520F" w:rsidTr="009169E9">
        <w:trPr>
          <w:trHeight w:val="170"/>
        </w:trPr>
        <w:tc>
          <w:tcPr>
            <w:tcW w:w="572" w:type="dxa"/>
            <w:vMerge/>
            <w:tcBorders>
              <w:left w:val="single" w:sz="8" w:space="0" w:color="auto"/>
              <w:bottom w:val="single" w:sz="12"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szCs w:val="14"/>
                <w:lang w:val="en-GB" w:eastAsia="de-DE"/>
              </w:rPr>
            </w:pPr>
          </w:p>
        </w:tc>
        <w:tc>
          <w:tcPr>
            <w:tcW w:w="2972" w:type="dxa"/>
            <w:vMerge/>
            <w:tcBorders>
              <w:bottom w:val="single" w:sz="12" w:space="0" w:color="auto"/>
            </w:tcBorders>
            <w:vAlign w:val="center"/>
            <w:hideMark/>
          </w:tcPr>
          <w:p w:rsidR="0092710A" w:rsidRPr="008D520F" w:rsidRDefault="0092710A" w:rsidP="009169E9">
            <w:pPr>
              <w:spacing w:after="0" w:line="240" w:lineRule="auto"/>
              <w:rPr>
                <w:rFonts w:ascii="Calibri" w:eastAsia="Times New Roman" w:hAnsi="Calibri" w:cs="Times New Roman"/>
                <w:color w:val="000000"/>
                <w:sz w:val="14"/>
                <w:szCs w:val="14"/>
                <w:lang w:val="en-GB" w:eastAsia="de-DE"/>
              </w:rPr>
            </w:pPr>
          </w:p>
        </w:tc>
        <w:tc>
          <w:tcPr>
            <w:tcW w:w="1418"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K21, blood cfDNA, Bisulfite conversion</w:t>
            </w:r>
          </w:p>
        </w:tc>
        <w:tc>
          <w:tcPr>
            <w:tcW w:w="570"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115135</w:t>
            </w:r>
          </w:p>
        </w:tc>
        <w:tc>
          <w:tcPr>
            <w:tcW w:w="1493"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AAGCGACT+ACGAATCC</w:t>
            </w:r>
          </w:p>
        </w:tc>
        <w:tc>
          <w:tcPr>
            <w:tcW w:w="913"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rFonts w:ascii="Calibri" w:eastAsia="Times New Roman" w:hAnsi="Calibri" w:cs="Times New Roman"/>
                <w:color w:val="000000"/>
                <w:sz w:val="14"/>
                <w:szCs w:val="14"/>
                <w:lang w:val="en-GB" w:eastAsia="de-DE"/>
              </w:rPr>
            </w:pPr>
            <w:r w:rsidRPr="008D520F">
              <w:rPr>
                <w:sz w:val="14"/>
                <w:szCs w:val="14"/>
                <w:lang w:val="en-GB"/>
              </w:rPr>
              <w:t>776,245,622</w:t>
            </w:r>
          </w:p>
        </w:tc>
        <w:tc>
          <w:tcPr>
            <w:tcW w:w="643" w:type="dxa"/>
            <w:tcBorders>
              <w:bottom w:val="single" w:sz="12" w:space="0" w:color="auto"/>
            </w:tcBorders>
            <w:shd w:val="clear" w:color="auto" w:fill="auto"/>
            <w:vAlign w:val="center"/>
            <w:hideMark/>
          </w:tcPr>
          <w:p w:rsidR="0092710A" w:rsidRPr="005853BF" w:rsidRDefault="0092710A" w:rsidP="009169E9">
            <w:pPr>
              <w:spacing w:before="60" w:after="60" w:line="240" w:lineRule="auto"/>
              <w:jc w:val="center"/>
              <w:rPr>
                <w:rFonts w:ascii="Calibri" w:eastAsia="Times New Roman" w:hAnsi="Calibri" w:cs="Times New Roman"/>
                <w:b/>
                <w:bCs/>
                <w:color w:val="000000"/>
                <w:sz w:val="14"/>
                <w:szCs w:val="14"/>
                <w:lang w:val="en-GB" w:eastAsia="de-DE"/>
              </w:rPr>
            </w:pPr>
            <w:r w:rsidRPr="005853BF">
              <w:rPr>
                <w:b/>
                <w:sz w:val="14"/>
                <w:szCs w:val="14"/>
                <w:lang w:val="en-GB"/>
              </w:rPr>
              <w:t>234.4</w:t>
            </w:r>
          </w:p>
        </w:tc>
        <w:tc>
          <w:tcPr>
            <w:tcW w:w="1058" w:type="dxa"/>
            <w:tcBorders>
              <w:bottom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860,590,696*</w:t>
            </w:r>
          </w:p>
        </w:tc>
        <w:tc>
          <w:tcPr>
            <w:tcW w:w="1058" w:type="dxa"/>
            <w:tcBorders>
              <w:bottom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668,588,714</w:t>
            </w:r>
          </w:p>
        </w:tc>
        <w:tc>
          <w:tcPr>
            <w:tcW w:w="1058" w:type="dxa"/>
            <w:tcBorders>
              <w:bottom w:val="single" w:sz="12" w:space="0" w:color="auto"/>
            </w:tcBorders>
            <w:vAlign w:val="center"/>
          </w:tcPr>
          <w:p w:rsidR="0092710A" w:rsidRPr="008D520F" w:rsidRDefault="0092710A" w:rsidP="009169E9">
            <w:pPr>
              <w:spacing w:before="60" w:after="60" w:line="240" w:lineRule="auto"/>
              <w:jc w:val="center"/>
              <w:rPr>
                <w:sz w:val="14"/>
                <w:szCs w:val="14"/>
                <w:lang w:val="en-GB"/>
              </w:rPr>
            </w:pPr>
            <w:r w:rsidRPr="008D520F">
              <w:rPr>
                <w:sz w:val="14"/>
                <w:szCs w:val="14"/>
                <w:lang w:val="en-GB"/>
              </w:rPr>
              <w:t>32.4</w:t>
            </w:r>
          </w:p>
        </w:tc>
        <w:tc>
          <w:tcPr>
            <w:tcW w:w="709" w:type="dxa"/>
            <w:tcBorders>
              <w:bottom w:val="single" w:sz="12"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91.10</w:t>
            </w:r>
          </w:p>
        </w:tc>
        <w:tc>
          <w:tcPr>
            <w:tcW w:w="1026" w:type="dxa"/>
            <w:tcBorders>
              <w:bottom w:val="single" w:sz="12" w:space="0" w:color="auto"/>
              <w:right w:val="single" w:sz="8" w:space="0" w:color="auto"/>
            </w:tcBorders>
            <w:shd w:val="clear" w:color="auto" w:fill="auto"/>
            <w:vAlign w:val="center"/>
            <w:hideMark/>
          </w:tcPr>
          <w:p w:rsidR="0092710A" w:rsidRPr="008D520F" w:rsidRDefault="0092710A" w:rsidP="009169E9">
            <w:pPr>
              <w:spacing w:before="60" w:after="60" w:line="240" w:lineRule="auto"/>
              <w:jc w:val="center"/>
              <w:rPr>
                <w:sz w:val="14"/>
                <w:szCs w:val="14"/>
                <w:lang w:val="en-GB"/>
              </w:rPr>
            </w:pPr>
            <w:r w:rsidRPr="008D520F">
              <w:rPr>
                <w:sz w:val="14"/>
                <w:szCs w:val="14"/>
                <w:lang w:val="en-GB"/>
              </w:rPr>
              <w:t>35.43</w:t>
            </w:r>
          </w:p>
        </w:tc>
      </w:tr>
      <w:tr w:rsidR="0092710A" w:rsidRPr="008D520F" w:rsidTr="009169E9">
        <w:trPr>
          <w:trHeight w:val="170"/>
        </w:trPr>
        <w:tc>
          <w:tcPr>
            <w:tcW w:w="572" w:type="dxa"/>
            <w:tcBorders>
              <w:top w:val="single" w:sz="12" w:space="0" w:color="auto"/>
              <w:left w:val="single" w:sz="8" w:space="0" w:color="auto"/>
              <w:bottom w:val="single" w:sz="12"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P30</w:t>
            </w:r>
          </w:p>
        </w:tc>
        <w:tc>
          <w:tcPr>
            <w:tcW w:w="2972" w:type="dxa"/>
            <w:tcBorders>
              <w:top w:val="single" w:sz="12" w:space="0" w:color="auto"/>
              <w:bottom w:val="single" w:sz="12" w:space="0" w:color="auto"/>
            </w:tcBorders>
            <w:shd w:val="clear" w:color="auto" w:fill="auto"/>
            <w:vAlign w:val="center"/>
            <w:hideMark/>
          </w:tcPr>
          <w:p w:rsidR="0092710A" w:rsidRDefault="0092710A" w:rsidP="009169E9">
            <w:pPr>
              <w:spacing w:after="0" w:line="240" w:lineRule="auto"/>
              <w:jc w:val="center"/>
              <w:rPr>
                <w:rFonts w:ascii="Calibri" w:eastAsia="Times New Roman" w:hAnsi="Calibri" w:cs="Times New Roman"/>
                <w:color w:val="000000"/>
                <w:sz w:val="14"/>
                <w:szCs w:val="14"/>
                <w:lang w:val="en-GB" w:eastAsia="de-DE"/>
              </w:rPr>
            </w:pPr>
            <w:r>
              <w:rPr>
                <w:rFonts w:ascii="Calibri" w:eastAsia="Times New Roman" w:hAnsi="Calibri" w:cs="Times New Roman"/>
                <w:color w:val="000000"/>
                <w:sz w:val="14"/>
                <w:szCs w:val="14"/>
                <w:lang w:val="en-GB" w:eastAsia="de-DE"/>
              </w:rPr>
              <w:t>End-stage renal disease on chronic peritoneal dialysis due to previous episode of atypical haemolytic uremic syndrome (aHUS)</w:t>
            </w:r>
          </w:p>
          <w:p w:rsidR="0092710A" w:rsidRDefault="0092710A" w:rsidP="009169E9">
            <w:pPr>
              <w:spacing w:after="0" w:line="240" w:lineRule="auto"/>
              <w:jc w:val="center"/>
              <w:rPr>
                <w:rFonts w:ascii="Calibri" w:eastAsia="Times New Roman" w:hAnsi="Calibri" w:cs="Times New Roman"/>
                <w:color w:val="000000"/>
                <w:sz w:val="14"/>
                <w:szCs w:val="14"/>
                <w:lang w:val="en-GB" w:eastAsia="de-DE"/>
              </w:rPr>
            </w:pPr>
            <w:r>
              <w:rPr>
                <w:rFonts w:ascii="Calibri" w:eastAsia="Times New Roman" w:hAnsi="Calibri" w:cs="Times New Roman"/>
                <w:color w:val="000000"/>
                <w:sz w:val="14"/>
                <w:szCs w:val="14"/>
                <w:lang w:val="en-GB" w:eastAsia="de-DE"/>
              </w:rPr>
              <w:t>Extrarenal disease:</w:t>
            </w: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Acute necrotizing pancreatitis,</w:t>
            </w:r>
          </w:p>
          <w:p w:rsidR="0092710A"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elevated liver enzymes</w:t>
            </w: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br/>
            </w:r>
            <w:r>
              <w:rPr>
                <w:rFonts w:ascii="Calibri" w:eastAsia="Times New Roman" w:hAnsi="Calibri" w:cs="Times New Roman"/>
                <w:color w:val="000000"/>
                <w:sz w:val="14"/>
                <w:szCs w:val="14"/>
                <w:lang w:val="en-GB" w:eastAsia="de-DE"/>
              </w:rPr>
              <w:t>Adult</w:t>
            </w:r>
            <w:r w:rsidRPr="008D520F">
              <w:rPr>
                <w:rFonts w:ascii="Calibri" w:eastAsia="Times New Roman" w:hAnsi="Calibri" w:cs="Times New Roman"/>
                <w:color w:val="000000"/>
                <w:sz w:val="14"/>
                <w:szCs w:val="14"/>
                <w:lang w:val="en-GB" w:eastAsia="de-DE"/>
              </w:rPr>
              <w:t xml:space="preserve"> female</w:t>
            </w:r>
          </w:p>
        </w:tc>
        <w:tc>
          <w:tcPr>
            <w:tcW w:w="1418"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P30, blood cfDNA, EMseq</w:t>
            </w:r>
          </w:p>
        </w:tc>
        <w:tc>
          <w:tcPr>
            <w:tcW w:w="570"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115136</w:t>
            </w:r>
          </w:p>
        </w:tc>
        <w:tc>
          <w:tcPr>
            <w:tcW w:w="1493"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sz w:val="14"/>
                <w:szCs w:val="14"/>
                <w:lang w:val="en-GB"/>
              </w:rPr>
              <w:t>ATTACCCA+CACTGTAG</w:t>
            </w:r>
          </w:p>
        </w:tc>
        <w:tc>
          <w:tcPr>
            <w:tcW w:w="913"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sz w:val="14"/>
                <w:szCs w:val="14"/>
                <w:lang w:val="en-GB"/>
              </w:rPr>
              <w:t>372,761,942</w:t>
            </w:r>
          </w:p>
        </w:tc>
        <w:tc>
          <w:tcPr>
            <w:tcW w:w="643" w:type="dxa"/>
            <w:tcBorders>
              <w:top w:val="single" w:sz="12" w:space="0" w:color="auto"/>
              <w:bottom w:val="single" w:sz="12" w:space="0" w:color="auto"/>
            </w:tcBorders>
            <w:shd w:val="clear" w:color="auto" w:fill="auto"/>
            <w:vAlign w:val="center"/>
            <w:hideMark/>
          </w:tcPr>
          <w:p w:rsidR="0092710A" w:rsidRPr="005853BF" w:rsidRDefault="0092710A" w:rsidP="009169E9">
            <w:pPr>
              <w:spacing w:after="0" w:line="240" w:lineRule="auto"/>
              <w:jc w:val="center"/>
              <w:rPr>
                <w:rFonts w:ascii="Calibri" w:eastAsia="Times New Roman" w:hAnsi="Calibri" w:cs="Times New Roman"/>
                <w:b/>
                <w:color w:val="000000"/>
                <w:sz w:val="14"/>
                <w:szCs w:val="14"/>
                <w:lang w:val="en-GB" w:eastAsia="de-DE"/>
              </w:rPr>
            </w:pPr>
            <w:r w:rsidRPr="005853BF">
              <w:rPr>
                <w:b/>
                <w:sz w:val="14"/>
                <w:szCs w:val="14"/>
                <w:lang w:val="en-GB"/>
              </w:rPr>
              <w:t>112.6</w:t>
            </w:r>
          </w:p>
        </w:tc>
        <w:tc>
          <w:tcPr>
            <w:tcW w:w="1058" w:type="dxa"/>
            <w:tcBorders>
              <w:top w:val="single" w:sz="12" w:space="0" w:color="auto"/>
              <w:bottom w:val="single" w:sz="12" w:space="0" w:color="auto"/>
            </w:tcBorders>
            <w:vAlign w:val="center"/>
          </w:tcPr>
          <w:p w:rsidR="0092710A" w:rsidRPr="008D520F" w:rsidRDefault="0092710A" w:rsidP="009169E9">
            <w:pPr>
              <w:spacing w:after="0" w:line="240" w:lineRule="auto"/>
              <w:jc w:val="center"/>
              <w:rPr>
                <w:sz w:val="14"/>
                <w:szCs w:val="14"/>
                <w:lang w:val="en-GB"/>
              </w:rPr>
            </w:pPr>
            <w:r w:rsidRPr="008D520F">
              <w:rPr>
                <w:sz w:val="14"/>
                <w:szCs w:val="14"/>
                <w:lang w:val="en-GB"/>
              </w:rPr>
              <w:t>745,523,884</w:t>
            </w:r>
          </w:p>
        </w:tc>
        <w:tc>
          <w:tcPr>
            <w:tcW w:w="1058" w:type="dxa"/>
            <w:tcBorders>
              <w:top w:val="single" w:sz="12" w:space="0" w:color="auto"/>
              <w:bottom w:val="single" w:sz="12" w:space="0" w:color="auto"/>
            </w:tcBorders>
            <w:vAlign w:val="center"/>
          </w:tcPr>
          <w:p w:rsidR="0092710A" w:rsidRPr="008D520F" w:rsidRDefault="0092710A" w:rsidP="009169E9">
            <w:pPr>
              <w:spacing w:after="0" w:line="240" w:lineRule="auto"/>
              <w:jc w:val="center"/>
              <w:rPr>
                <w:sz w:val="14"/>
                <w:szCs w:val="14"/>
                <w:lang w:val="en-GB"/>
              </w:rPr>
            </w:pPr>
            <w:r w:rsidRPr="008D520F">
              <w:rPr>
                <w:sz w:val="14"/>
                <w:szCs w:val="14"/>
                <w:lang w:val="en-GB"/>
              </w:rPr>
              <w:t>613,852,730</w:t>
            </w:r>
          </w:p>
        </w:tc>
        <w:tc>
          <w:tcPr>
            <w:tcW w:w="1058" w:type="dxa"/>
            <w:tcBorders>
              <w:top w:val="single" w:sz="12" w:space="0" w:color="auto"/>
              <w:bottom w:val="single" w:sz="12" w:space="0" w:color="auto"/>
            </w:tcBorders>
            <w:vAlign w:val="center"/>
          </w:tcPr>
          <w:p w:rsidR="0092710A" w:rsidRPr="008D520F" w:rsidRDefault="0092710A" w:rsidP="009169E9">
            <w:pPr>
              <w:spacing w:after="0"/>
              <w:jc w:val="center"/>
              <w:rPr>
                <w:sz w:val="14"/>
                <w:szCs w:val="14"/>
                <w:lang w:val="en-GB"/>
              </w:rPr>
            </w:pPr>
            <w:r w:rsidRPr="008D520F">
              <w:rPr>
                <w:sz w:val="14"/>
                <w:szCs w:val="14"/>
                <w:lang w:val="en-GB"/>
              </w:rPr>
              <w:t>29.7</w:t>
            </w:r>
          </w:p>
        </w:tc>
        <w:tc>
          <w:tcPr>
            <w:tcW w:w="709"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jc w:val="center"/>
              <w:rPr>
                <w:sz w:val="14"/>
                <w:szCs w:val="14"/>
                <w:lang w:val="en-GB"/>
              </w:rPr>
            </w:pPr>
            <w:r w:rsidRPr="008D520F">
              <w:rPr>
                <w:sz w:val="14"/>
                <w:szCs w:val="14"/>
                <w:lang w:val="en-GB"/>
              </w:rPr>
              <w:t>91.74</w:t>
            </w:r>
          </w:p>
        </w:tc>
        <w:tc>
          <w:tcPr>
            <w:tcW w:w="1026" w:type="dxa"/>
            <w:tcBorders>
              <w:top w:val="single" w:sz="12" w:space="0" w:color="auto"/>
              <w:bottom w:val="single" w:sz="12" w:space="0" w:color="auto"/>
              <w:right w:val="single" w:sz="8" w:space="0" w:color="auto"/>
            </w:tcBorders>
            <w:shd w:val="clear" w:color="auto" w:fill="auto"/>
            <w:vAlign w:val="center"/>
            <w:hideMark/>
          </w:tcPr>
          <w:p w:rsidR="0092710A" w:rsidRPr="008D520F" w:rsidRDefault="0092710A" w:rsidP="009169E9">
            <w:pPr>
              <w:spacing w:after="0"/>
              <w:jc w:val="center"/>
              <w:rPr>
                <w:sz w:val="14"/>
                <w:szCs w:val="14"/>
                <w:lang w:val="en-GB"/>
              </w:rPr>
            </w:pPr>
            <w:r w:rsidRPr="008D520F">
              <w:rPr>
                <w:sz w:val="14"/>
                <w:szCs w:val="14"/>
                <w:lang w:val="en-GB"/>
              </w:rPr>
              <w:t>35.53</w:t>
            </w:r>
          </w:p>
        </w:tc>
      </w:tr>
      <w:tr w:rsidR="0092710A" w:rsidRPr="008D520F" w:rsidTr="009169E9">
        <w:trPr>
          <w:trHeight w:val="170"/>
        </w:trPr>
        <w:tc>
          <w:tcPr>
            <w:tcW w:w="572" w:type="dxa"/>
            <w:tcBorders>
              <w:top w:val="single" w:sz="12" w:space="0" w:color="auto"/>
              <w:left w:val="single" w:sz="8" w:space="0" w:color="auto"/>
              <w:bottom w:val="single" w:sz="12"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P31</w:t>
            </w:r>
          </w:p>
        </w:tc>
        <w:tc>
          <w:tcPr>
            <w:tcW w:w="2972"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Polycystic kidney disease of unknown aetiology,</w:t>
            </w: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slowly progressive chronic kidney disease</w:t>
            </w: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Pr>
                <w:rFonts w:ascii="Calibri" w:eastAsia="Times New Roman" w:hAnsi="Calibri" w:cs="Times New Roman"/>
                <w:color w:val="000000"/>
                <w:sz w:val="14"/>
                <w:szCs w:val="14"/>
                <w:lang w:val="en-GB" w:eastAsia="de-DE"/>
              </w:rPr>
              <w:t>Adolescent</w:t>
            </w:r>
            <w:r w:rsidRPr="008D520F">
              <w:rPr>
                <w:rFonts w:ascii="Calibri" w:eastAsia="Times New Roman" w:hAnsi="Calibri" w:cs="Times New Roman"/>
                <w:color w:val="000000"/>
                <w:sz w:val="14"/>
                <w:szCs w:val="14"/>
                <w:lang w:val="en-GB" w:eastAsia="de-DE"/>
              </w:rPr>
              <w:t xml:space="preserve"> female</w:t>
            </w:r>
          </w:p>
        </w:tc>
        <w:tc>
          <w:tcPr>
            <w:tcW w:w="1418"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P31, blood cfDNA, EMseq</w:t>
            </w:r>
          </w:p>
        </w:tc>
        <w:tc>
          <w:tcPr>
            <w:tcW w:w="570"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115139</w:t>
            </w:r>
          </w:p>
        </w:tc>
        <w:tc>
          <w:tcPr>
            <w:tcW w:w="1493"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sz w:val="14"/>
                <w:szCs w:val="14"/>
                <w:lang w:val="en-GB"/>
              </w:rPr>
              <w:t>GACTTGTG+GTGCACGA</w:t>
            </w:r>
          </w:p>
        </w:tc>
        <w:tc>
          <w:tcPr>
            <w:tcW w:w="913"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sz w:val="14"/>
                <w:szCs w:val="14"/>
                <w:lang w:val="en-GB"/>
              </w:rPr>
              <w:t>348,541,758</w:t>
            </w:r>
          </w:p>
        </w:tc>
        <w:tc>
          <w:tcPr>
            <w:tcW w:w="643" w:type="dxa"/>
            <w:tcBorders>
              <w:top w:val="single" w:sz="12" w:space="0" w:color="auto"/>
              <w:bottom w:val="single" w:sz="12" w:space="0" w:color="auto"/>
            </w:tcBorders>
            <w:shd w:val="clear" w:color="auto" w:fill="auto"/>
            <w:vAlign w:val="center"/>
            <w:hideMark/>
          </w:tcPr>
          <w:p w:rsidR="0092710A" w:rsidRPr="005853BF" w:rsidRDefault="0092710A" w:rsidP="009169E9">
            <w:pPr>
              <w:spacing w:after="0" w:line="240" w:lineRule="auto"/>
              <w:jc w:val="center"/>
              <w:rPr>
                <w:rFonts w:ascii="Calibri" w:eastAsia="Times New Roman" w:hAnsi="Calibri" w:cs="Times New Roman"/>
                <w:b/>
                <w:color w:val="000000"/>
                <w:sz w:val="14"/>
                <w:szCs w:val="14"/>
                <w:lang w:val="en-GB" w:eastAsia="de-DE"/>
              </w:rPr>
            </w:pPr>
            <w:r w:rsidRPr="005853BF">
              <w:rPr>
                <w:b/>
                <w:sz w:val="14"/>
                <w:szCs w:val="14"/>
                <w:lang w:val="en-GB"/>
              </w:rPr>
              <w:t>105.3</w:t>
            </w:r>
          </w:p>
        </w:tc>
        <w:tc>
          <w:tcPr>
            <w:tcW w:w="1058" w:type="dxa"/>
            <w:tcBorders>
              <w:top w:val="single" w:sz="12" w:space="0" w:color="auto"/>
              <w:bottom w:val="single" w:sz="12" w:space="0" w:color="auto"/>
            </w:tcBorders>
            <w:vAlign w:val="center"/>
          </w:tcPr>
          <w:p w:rsidR="0092710A" w:rsidRPr="008D520F" w:rsidRDefault="0092710A" w:rsidP="009169E9">
            <w:pPr>
              <w:spacing w:after="0" w:line="240" w:lineRule="auto"/>
              <w:jc w:val="center"/>
              <w:rPr>
                <w:sz w:val="14"/>
                <w:szCs w:val="14"/>
                <w:lang w:val="en-GB"/>
              </w:rPr>
            </w:pPr>
            <w:r w:rsidRPr="008D520F">
              <w:rPr>
                <w:sz w:val="14"/>
                <w:szCs w:val="14"/>
                <w:lang w:val="en-GB"/>
              </w:rPr>
              <w:t>697,083,516</w:t>
            </w:r>
          </w:p>
        </w:tc>
        <w:tc>
          <w:tcPr>
            <w:tcW w:w="1058" w:type="dxa"/>
            <w:tcBorders>
              <w:top w:val="single" w:sz="12" w:space="0" w:color="auto"/>
              <w:bottom w:val="single" w:sz="12" w:space="0" w:color="auto"/>
            </w:tcBorders>
            <w:vAlign w:val="center"/>
          </w:tcPr>
          <w:p w:rsidR="0092710A" w:rsidRPr="008D520F" w:rsidRDefault="0092710A" w:rsidP="009169E9">
            <w:pPr>
              <w:spacing w:after="0" w:line="240" w:lineRule="auto"/>
              <w:jc w:val="center"/>
              <w:rPr>
                <w:sz w:val="14"/>
                <w:szCs w:val="14"/>
                <w:lang w:val="en-GB"/>
              </w:rPr>
            </w:pPr>
            <w:r w:rsidRPr="008D520F">
              <w:rPr>
                <w:sz w:val="14"/>
                <w:szCs w:val="14"/>
                <w:lang w:val="en-GB"/>
              </w:rPr>
              <w:t>562,076,074</w:t>
            </w:r>
          </w:p>
        </w:tc>
        <w:tc>
          <w:tcPr>
            <w:tcW w:w="1058" w:type="dxa"/>
            <w:tcBorders>
              <w:top w:val="single" w:sz="12" w:space="0" w:color="auto"/>
              <w:bottom w:val="single" w:sz="12" w:space="0" w:color="auto"/>
            </w:tcBorders>
            <w:vAlign w:val="center"/>
          </w:tcPr>
          <w:p w:rsidR="0092710A" w:rsidRPr="008D520F" w:rsidRDefault="0092710A" w:rsidP="009169E9">
            <w:pPr>
              <w:spacing w:after="0"/>
              <w:jc w:val="center"/>
              <w:rPr>
                <w:sz w:val="14"/>
                <w:szCs w:val="14"/>
                <w:lang w:val="en-GB"/>
              </w:rPr>
            </w:pPr>
            <w:r w:rsidRPr="008D520F">
              <w:rPr>
                <w:sz w:val="14"/>
                <w:szCs w:val="14"/>
                <w:lang w:val="en-GB"/>
              </w:rPr>
              <w:t>27.2</w:t>
            </w:r>
          </w:p>
        </w:tc>
        <w:tc>
          <w:tcPr>
            <w:tcW w:w="709" w:type="dxa"/>
            <w:tcBorders>
              <w:top w:val="single" w:sz="12" w:space="0" w:color="auto"/>
              <w:bottom w:val="single" w:sz="12" w:space="0" w:color="auto"/>
            </w:tcBorders>
            <w:shd w:val="clear" w:color="auto" w:fill="auto"/>
            <w:vAlign w:val="center"/>
            <w:hideMark/>
          </w:tcPr>
          <w:p w:rsidR="0092710A" w:rsidRPr="008D520F" w:rsidRDefault="0092710A" w:rsidP="009169E9">
            <w:pPr>
              <w:spacing w:after="0"/>
              <w:jc w:val="center"/>
              <w:rPr>
                <w:sz w:val="14"/>
                <w:szCs w:val="14"/>
                <w:lang w:val="en-GB"/>
              </w:rPr>
            </w:pPr>
            <w:r w:rsidRPr="008D520F">
              <w:rPr>
                <w:sz w:val="14"/>
                <w:szCs w:val="14"/>
                <w:lang w:val="en-GB"/>
              </w:rPr>
              <w:t>90.78</w:t>
            </w:r>
          </w:p>
        </w:tc>
        <w:tc>
          <w:tcPr>
            <w:tcW w:w="1026" w:type="dxa"/>
            <w:tcBorders>
              <w:top w:val="single" w:sz="12" w:space="0" w:color="auto"/>
              <w:bottom w:val="single" w:sz="12" w:space="0" w:color="auto"/>
              <w:right w:val="single" w:sz="8" w:space="0" w:color="auto"/>
            </w:tcBorders>
            <w:shd w:val="clear" w:color="auto" w:fill="auto"/>
            <w:vAlign w:val="center"/>
            <w:hideMark/>
          </w:tcPr>
          <w:p w:rsidR="0092710A" w:rsidRPr="008D520F" w:rsidRDefault="0092710A" w:rsidP="009169E9">
            <w:pPr>
              <w:spacing w:after="0"/>
              <w:jc w:val="center"/>
              <w:rPr>
                <w:sz w:val="14"/>
                <w:szCs w:val="14"/>
                <w:lang w:val="en-GB"/>
              </w:rPr>
            </w:pPr>
            <w:r w:rsidRPr="008D520F">
              <w:rPr>
                <w:sz w:val="14"/>
                <w:szCs w:val="14"/>
                <w:lang w:val="en-GB"/>
              </w:rPr>
              <w:t>35.36</w:t>
            </w:r>
          </w:p>
        </w:tc>
      </w:tr>
      <w:tr w:rsidR="0092710A" w:rsidRPr="008D520F" w:rsidTr="009169E9">
        <w:trPr>
          <w:trHeight w:val="170"/>
        </w:trPr>
        <w:tc>
          <w:tcPr>
            <w:tcW w:w="572" w:type="dxa"/>
            <w:tcBorders>
              <w:top w:val="single" w:sz="12" w:space="0" w:color="auto"/>
              <w:left w:val="single" w:sz="8" w:space="0" w:color="auto"/>
              <w:bottom w:val="single" w:sz="8" w:space="0" w:color="auto"/>
            </w:tcBorders>
            <w:shd w:val="clear" w:color="auto" w:fill="auto"/>
            <w:noWrap/>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P32</w:t>
            </w:r>
          </w:p>
        </w:tc>
        <w:tc>
          <w:tcPr>
            <w:tcW w:w="2972" w:type="dxa"/>
            <w:tcBorders>
              <w:top w:val="single" w:sz="12" w:space="0" w:color="auto"/>
              <w:bottom w:val="single" w:sz="8" w:space="0" w:color="auto"/>
            </w:tcBorders>
            <w:shd w:val="clear" w:color="auto" w:fill="auto"/>
            <w:vAlign w:val="center"/>
            <w:hideMark/>
          </w:tcPr>
          <w:p w:rsidR="0092710A" w:rsidRDefault="0092710A" w:rsidP="009169E9">
            <w:pPr>
              <w:spacing w:after="0" w:line="240" w:lineRule="auto"/>
              <w:jc w:val="center"/>
              <w:rPr>
                <w:rFonts w:ascii="Calibri" w:eastAsia="Times New Roman" w:hAnsi="Calibri" w:cs="Times New Roman"/>
                <w:color w:val="000000"/>
                <w:sz w:val="14"/>
                <w:szCs w:val="14"/>
                <w:lang w:val="en-GB" w:eastAsia="de-DE"/>
              </w:rPr>
            </w:pPr>
            <w:r>
              <w:rPr>
                <w:rFonts w:ascii="Calibri" w:eastAsia="Times New Roman" w:hAnsi="Calibri" w:cs="Times New Roman"/>
                <w:color w:val="000000"/>
                <w:sz w:val="14"/>
                <w:szCs w:val="14"/>
                <w:lang w:val="en-GB" w:eastAsia="de-DE"/>
              </w:rPr>
              <w:t xml:space="preserve">End-stage renal disease on chronic haemodialysis due to </w:t>
            </w:r>
            <w:r w:rsidRPr="008D520F">
              <w:rPr>
                <w:rFonts w:ascii="Calibri" w:eastAsia="Times New Roman" w:hAnsi="Calibri" w:cs="Times New Roman"/>
                <w:color w:val="000000"/>
                <w:sz w:val="14"/>
                <w:szCs w:val="14"/>
                <w:lang w:val="en-GB" w:eastAsia="de-DE"/>
              </w:rPr>
              <w:t>Primary Hyperoxaluria type I</w:t>
            </w:r>
          </w:p>
          <w:p w:rsidR="0092710A" w:rsidRDefault="0092710A" w:rsidP="009169E9">
            <w:pPr>
              <w:spacing w:after="0" w:line="240" w:lineRule="auto"/>
              <w:jc w:val="center"/>
              <w:rPr>
                <w:rFonts w:ascii="Calibri" w:eastAsia="Times New Roman" w:hAnsi="Calibri" w:cs="Times New Roman"/>
                <w:color w:val="000000"/>
                <w:sz w:val="14"/>
                <w:szCs w:val="14"/>
                <w:lang w:val="en-GB" w:eastAsia="de-DE"/>
              </w:rPr>
            </w:pPr>
            <w:r>
              <w:rPr>
                <w:rFonts w:ascii="Calibri" w:eastAsia="Times New Roman" w:hAnsi="Calibri" w:cs="Times New Roman"/>
                <w:color w:val="000000"/>
                <w:sz w:val="14"/>
                <w:szCs w:val="14"/>
                <w:lang w:val="en-GB" w:eastAsia="de-DE"/>
              </w:rPr>
              <w:t>Extrarenal disease:</w:t>
            </w:r>
          </w:p>
          <w:p w:rsidR="0092710A" w:rsidRDefault="0092710A" w:rsidP="009169E9">
            <w:pPr>
              <w:spacing w:after="0" w:line="240" w:lineRule="auto"/>
              <w:jc w:val="center"/>
              <w:rPr>
                <w:rFonts w:ascii="Calibri" w:eastAsia="Times New Roman" w:hAnsi="Calibri" w:cs="Times New Roman"/>
                <w:color w:val="000000"/>
                <w:sz w:val="14"/>
                <w:szCs w:val="14"/>
                <w:lang w:val="en-GB" w:eastAsia="de-DE"/>
              </w:rPr>
            </w:pPr>
            <w:r>
              <w:rPr>
                <w:rFonts w:ascii="Calibri" w:eastAsia="Times New Roman" w:hAnsi="Calibri" w:cs="Times New Roman"/>
                <w:color w:val="000000"/>
                <w:sz w:val="14"/>
                <w:szCs w:val="14"/>
                <w:lang w:val="en-GB" w:eastAsia="de-DE"/>
              </w:rPr>
              <w:t>Bone oxalosis</w:t>
            </w:r>
          </w:p>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Pr>
                <w:rFonts w:ascii="Calibri" w:eastAsia="Times New Roman" w:hAnsi="Calibri" w:cs="Times New Roman"/>
                <w:color w:val="000000"/>
                <w:sz w:val="14"/>
                <w:szCs w:val="14"/>
                <w:lang w:val="en-GB" w:eastAsia="de-DE"/>
              </w:rPr>
              <w:br/>
              <w:t>Adult</w:t>
            </w:r>
            <w:r w:rsidRPr="008D520F">
              <w:rPr>
                <w:rFonts w:ascii="Calibri" w:eastAsia="Times New Roman" w:hAnsi="Calibri" w:cs="Times New Roman"/>
                <w:color w:val="000000"/>
                <w:sz w:val="14"/>
                <w:szCs w:val="14"/>
                <w:lang w:val="en-GB" w:eastAsia="de-DE"/>
              </w:rPr>
              <w:t xml:space="preserve"> </w:t>
            </w:r>
            <w:r>
              <w:rPr>
                <w:rFonts w:ascii="Calibri" w:eastAsia="Times New Roman" w:hAnsi="Calibri" w:cs="Times New Roman"/>
                <w:color w:val="000000"/>
                <w:sz w:val="14"/>
                <w:szCs w:val="14"/>
                <w:lang w:val="en-GB" w:eastAsia="de-DE"/>
              </w:rPr>
              <w:t>female</w:t>
            </w:r>
          </w:p>
        </w:tc>
        <w:tc>
          <w:tcPr>
            <w:tcW w:w="1418" w:type="dxa"/>
            <w:tcBorders>
              <w:top w:val="single" w:sz="12"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P32, blood cfDNA, EMseq</w:t>
            </w:r>
          </w:p>
        </w:tc>
        <w:tc>
          <w:tcPr>
            <w:tcW w:w="570" w:type="dxa"/>
            <w:tcBorders>
              <w:top w:val="single" w:sz="12"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rFonts w:ascii="Calibri" w:eastAsia="Times New Roman" w:hAnsi="Calibri" w:cs="Times New Roman"/>
                <w:color w:val="000000"/>
                <w:sz w:val="14"/>
                <w:szCs w:val="14"/>
                <w:lang w:val="en-GB" w:eastAsia="de-DE"/>
              </w:rPr>
              <w:t>115140</w:t>
            </w:r>
          </w:p>
        </w:tc>
        <w:tc>
          <w:tcPr>
            <w:tcW w:w="1493" w:type="dxa"/>
            <w:tcBorders>
              <w:top w:val="single" w:sz="12"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sz w:val="14"/>
                <w:szCs w:val="14"/>
                <w:lang w:val="en-GB"/>
              </w:rPr>
              <w:t>TTCAATAG+TCCCACGA</w:t>
            </w:r>
          </w:p>
        </w:tc>
        <w:tc>
          <w:tcPr>
            <w:tcW w:w="913" w:type="dxa"/>
            <w:tcBorders>
              <w:top w:val="single" w:sz="12" w:space="0" w:color="auto"/>
              <w:bottom w:val="single" w:sz="8" w:space="0" w:color="auto"/>
            </w:tcBorders>
            <w:shd w:val="clear" w:color="auto" w:fill="auto"/>
            <w:vAlign w:val="center"/>
            <w:hideMark/>
          </w:tcPr>
          <w:p w:rsidR="0092710A" w:rsidRPr="008D520F" w:rsidRDefault="0092710A" w:rsidP="009169E9">
            <w:pPr>
              <w:spacing w:after="0" w:line="240" w:lineRule="auto"/>
              <w:jc w:val="center"/>
              <w:rPr>
                <w:rFonts w:ascii="Calibri" w:eastAsia="Times New Roman" w:hAnsi="Calibri" w:cs="Times New Roman"/>
                <w:color w:val="000000"/>
                <w:sz w:val="14"/>
                <w:szCs w:val="14"/>
                <w:lang w:val="en-GB" w:eastAsia="de-DE"/>
              </w:rPr>
            </w:pPr>
            <w:r w:rsidRPr="008D520F">
              <w:rPr>
                <w:sz w:val="14"/>
                <w:szCs w:val="14"/>
                <w:lang w:val="en-GB"/>
              </w:rPr>
              <w:t>390,065,125</w:t>
            </w:r>
          </w:p>
        </w:tc>
        <w:tc>
          <w:tcPr>
            <w:tcW w:w="643" w:type="dxa"/>
            <w:tcBorders>
              <w:top w:val="single" w:sz="12" w:space="0" w:color="auto"/>
              <w:bottom w:val="single" w:sz="8" w:space="0" w:color="auto"/>
            </w:tcBorders>
            <w:shd w:val="clear" w:color="auto" w:fill="auto"/>
            <w:vAlign w:val="center"/>
            <w:hideMark/>
          </w:tcPr>
          <w:p w:rsidR="0092710A" w:rsidRPr="005853BF" w:rsidRDefault="0092710A" w:rsidP="009169E9">
            <w:pPr>
              <w:spacing w:after="0" w:line="240" w:lineRule="auto"/>
              <w:jc w:val="center"/>
              <w:rPr>
                <w:rFonts w:ascii="Calibri" w:eastAsia="Times New Roman" w:hAnsi="Calibri" w:cs="Times New Roman"/>
                <w:b/>
                <w:color w:val="000000"/>
                <w:sz w:val="14"/>
                <w:szCs w:val="14"/>
                <w:lang w:val="en-GB" w:eastAsia="de-DE"/>
              </w:rPr>
            </w:pPr>
            <w:r w:rsidRPr="005853BF">
              <w:rPr>
                <w:b/>
                <w:sz w:val="14"/>
                <w:szCs w:val="14"/>
                <w:lang w:val="en-GB"/>
              </w:rPr>
              <w:t>117.8</w:t>
            </w:r>
          </w:p>
        </w:tc>
        <w:tc>
          <w:tcPr>
            <w:tcW w:w="1058" w:type="dxa"/>
            <w:tcBorders>
              <w:top w:val="single" w:sz="12" w:space="0" w:color="auto"/>
              <w:bottom w:val="single" w:sz="8" w:space="0" w:color="auto"/>
            </w:tcBorders>
            <w:vAlign w:val="center"/>
          </w:tcPr>
          <w:p w:rsidR="0092710A" w:rsidRPr="008D520F" w:rsidRDefault="0092710A" w:rsidP="009169E9">
            <w:pPr>
              <w:spacing w:after="0" w:line="240" w:lineRule="auto"/>
              <w:jc w:val="center"/>
              <w:rPr>
                <w:sz w:val="14"/>
                <w:szCs w:val="14"/>
                <w:lang w:val="en-GB"/>
              </w:rPr>
            </w:pPr>
            <w:r w:rsidRPr="008D520F">
              <w:rPr>
                <w:sz w:val="14"/>
                <w:szCs w:val="14"/>
                <w:lang w:val="en-GB"/>
              </w:rPr>
              <w:t>780,130,250</w:t>
            </w:r>
          </w:p>
        </w:tc>
        <w:tc>
          <w:tcPr>
            <w:tcW w:w="1058" w:type="dxa"/>
            <w:tcBorders>
              <w:top w:val="single" w:sz="12" w:space="0" w:color="auto"/>
              <w:bottom w:val="single" w:sz="8" w:space="0" w:color="auto"/>
            </w:tcBorders>
            <w:vAlign w:val="center"/>
          </w:tcPr>
          <w:p w:rsidR="0092710A" w:rsidRPr="008D520F" w:rsidRDefault="0092710A" w:rsidP="009169E9">
            <w:pPr>
              <w:spacing w:after="0" w:line="240" w:lineRule="auto"/>
              <w:jc w:val="center"/>
              <w:rPr>
                <w:sz w:val="14"/>
                <w:szCs w:val="14"/>
                <w:lang w:val="en-GB"/>
              </w:rPr>
            </w:pPr>
            <w:r w:rsidRPr="008D520F">
              <w:rPr>
                <w:sz w:val="14"/>
                <w:szCs w:val="14"/>
                <w:lang w:val="en-GB"/>
              </w:rPr>
              <w:t>642,975,044</w:t>
            </w:r>
          </w:p>
        </w:tc>
        <w:tc>
          <w:tcPr>
            <w:tcW w:w="1058" w:type="dxa"/>
            <w:tcBorders>
              <w:top w:val="single" w:sz="12" w:space="0" w:color="auto"/>
              <w:bottom w:val="single" w:sz="8" w:space="0" w:color="auto"/>
            </w:tcBorders>
            <w:vAlign w:val="center"/>
          </w:tcPr>
          <w:p w:rsidR="0092710A" w:rsidRPr="008D520F" w:rsidRDefault="0092710A" w:rsidP="009169E9">
            <w:pPr>
              <w:spacing w:after="0"/>
              <w:jc w:val="center"/>
              <w:rPr>
                <w:sz w:val="14"/>
                <w:szCs w:val="14"/>
                <w:lang w:val="en-GB"/>
              </w:rPr>
            </w:pPr>
            <w:r w:rsidRPr="008D520F">
              <w:rPr>
                <w:sz w:val="14"/>
                <w:szCs w:val="14"/>
                <w:lang w:val="en-GB"/>
              </w:rPr>
              <w:t>31.1</w:t>
            </w:r>
          </w:p>
        </w:tc>
        <w:tc>
          <w:tcPr>
            <w:tcW w:w="709" w:type="dxa"/>
            <w:tcBorders>
              <w:top w:val="single" w:sz="12" w:space="0" w:color="auto"/>
              <w:bottom w:val="single" w:sz="8" w:space="0" w:color="auto"/>
            </w:tcBorders>
            <w:shd w:val="clear" w:color="auto" w:fill="auto"/>
            <w:vAlign w:val="center"/>
            <w:hideMark/>
          </w:tcPr>
          <w:p w:rsidR="0092710A" w:rsidRPr="008D520F" w:rsidRDefault="0092710A" w:rsidP="009169E9">
            <w:pPr>
              <w:spacing w:after="0"/>
              <w:jc w:val="center"/>
              <w:rPr>
                <w:sz w:val="14"/>
                <w:szCs w:val="14"/>
                <w:lang w:val="en-GB"/>
              </w:rPr>
            </w:pPr>
            <w:r w:rsidRPr="008D520F">
              <w:rPr>
                <w:sz w:val="14"/>
                <w:szCs w:val="14"/>
                <w:lang w:val="en-GB"/>
              </w:rPr>
              <w:t>91.62</w:t>
            </w:r>
          </w:p>
        </w:tc>
        <w:tc>
          <w:tcPr>
            <w:tcW w:w="1026" w:type="dxa"/>
            <w:tcBorders>
              <w:top w:val="single" w:sz="12" w:space="0" w:color="auto"/>
              <w:bottom w:val="single" w:sz="8" w:space="0" w:color="auto"/>
              <w:right w:val="single" w:sz="8" w:space="0" w:color="auto"/>
            </w:tcBorders>
            <w:shd w:val="clear" w:color="auto" w:fill="auto"/>
            <w:vAlign w:val="center"/>
            <w:hideMark/>
          </w:tcPr>
          <w:p w:rsidR="0092710A" w:rsidRPr="008D520F" w:rsidRDefault="0092710A" w:rsidP="009169E9">
            <w:pPr>
              <w:spacing w:after="0"/>
              <w:jc w:val="center"/>
              <w:rPr>
                <w:sz w:val="14"/>
                <w:szCs w:val="14"/>
                <w:lang w:val="en-GB"/>
              </w:rPr>
            </w:pPr>
            <w:r w:rsidRPr="008D520F">
              <w:rPr>
                <w:sz w:val="14"/>
                <w:szCs w:val="14"/>
                <w:lang w:val="en-GB"/>
              </w:rPr>
              <w:t>35.51</w:t>
            </w:r>
          </w:p>
        </w:tc>
      </w:tr>
    </w:tbl>
    <w:p w:rsidR="0092710A" w:rsidRPr="008D520F" w:rsidRDefault="0092710A" w:rsidP="0092710A">
      <w:pPr>
        <w:rPr>
          <w:sz w:val="20"/>
          <w:lang w:val="en-GB"/>
        </w:rPr>
      </w:pPr>
      <w:r w:rsidRPr="008D520F">
        <w:rPr>
          <w:sz w:val="20"/>
          <w:lang w:val="en-GB"/>
        </w:rPr>
        <w:t>*: the larger bisulfite-converted datasets were downsampled to the size of the corresponding EMseq dataset prior to alignment.</w:t>
      </w:r>
    </w:p>
    <w:p w:rsidR="0092710A" w:rsidRPr="008D520F" w:rsidRDefault="0092710A" w:rsidP="0092710A">
      <w:pPr>
        <w:spacing w:after="160" w:line="259" w:lineRule="auto"/>
        <w:rPr>
          <w:sz w:val="20"/>
          <w:lang w:val="en-GB"/>
        </w:rPr>
      </w:pPr>
      <w:r w:rsidRPr="008D520F">
        <w:rPr>
          <w:sz w:val="20"/>
          <w:lang w:val="en-GB"/>
        </w:rPr>
        <w:br w:type="page"/>
      </w:r>
    </w:p>
    <w:p w:rsidR="0092710A" w:rsidRDefault="0092710A">
      <w:pPr>
        <w:spacing w:after="160" w:line="259" w:lineRule="auto"/>
        <w:rPr>
          <w:b/>
          <w:u w:val="single"/>
          <w:lang w:val="en-GB"/>
        </w:rPr>
        <w:sectPr w:rsidR="0092710A" w:rsidSect="0092710A">
          <w:pgSz w:w="15840" w:h="12240" w:orient="landscape"/>
          <w:pgMar w:top="1417" w:right="1417" w:bottom="1417" w:left="1134" w:header="708" w:footer="708" w:gutter="0"/>
          <w:cols w:space="708"/>
          <w:docGrid w:linePitch="360"/>
        </w:sectPr>
      </w:pPr>
    </w:p>
    <w:p w:rsidR="00762E36" w:rsidRPr="008D520F" w:rsidRDefault="00762E36" w:rsidP="0063583D">
      <w:pPr>
        <w:pStyle w:val="EndNoteBibliography"/>
        <w:spacing w:after="0"/>
        <w:ind w:left="720" w:hanging="720"/>
        <w:rPr>
          <w:b/>
          <w:u w:val="single"/>
          <w:lang w:val="en-GB"/>
        </w:rPr>
      </w:pPr>
      <w:r w:rsidRPr="008D520F">
        <w:rPr>
          <w:b/>
          <w:u w:val="single"/>
          <w:lang w:val="en-GB"/>
        </w:rPr>
        <w:lastRenderedPageBreak/>
        <w:t>Supplementary References</w:t>
      </w:r>
    </w:p>
    <w:p w:rsidR="00762E36" w:rsidRPr="008D520F" w:rsidRDefault="00762E36" w:rsidP="0063583D">
      <w:pPr>
        <w:pStyle w:val="EndNoteBibliography"/>
        <w:spacing w:after="0"/>
        <w:ind w:left="720" w:hanging="720"/>
        <w:rPr>
          <w:lang w:val="en-GB"/>
        </w:rPr>
      </w:pPr>
    </w:p>
    <w:p w:rsidR="00242CE3" w:rsidRPr="00242CE3" w:rsidRDefault="00794E9B" w:rsidP="00242CE3">
      <w:pPr>
        <w:pStyle w:val="EndNoteBibliography"/>
        <w:spacing w:after="0"/>
        <w:ind w:left="720" w:hanging="720"/>
      </w:pPr>
      <w:r w:rsidRPr="008D520F">
        <w:rPr>
          <w:lang w:val="en-GB"/>
        </w:rPr>
        <w:fldChar w:fldCharType="begin"/>
      </w:r>
      <w:r w:rsidR="0063583D" w:rsidRPr="008D520F">
        <w:rPr>
          <w:lang w:val="en-GB"/>
        </w:rPr>
        <w:instrText xml:space="preserve"> ADDIN EN.REFLIST </w:instrText>
      </w:r>
      <w:r w:rsidRPr="008D520F">
        <w:rPr>
          <w:lang w:val="en-GB"/>
        </w:rPr>
        <w:fldChar w:fldCharType="separate"/>
      </w:r>
      <w:r w:rsidR="00242CE3" w:rsidRPr="00242CE3">
        <w:t>1.</w:t>
      </w:r>
      <w:r w:rsidR="00242CE3" w:rsidRPr="00242CE3">
        <w:tab/>
        <w:t xml:space="preserve">Moss J, Magenheim J, Neiman D, Zemmour H, Loyfer N, Korach A, Samet Y, Maoz M, Druid H, Arner P, et al: </w:t>
      </w:r>
      <w:r w:rsidR="00242CE3" w:rsidRPr="00242CE3">
        <w:rPr>
          <w:b/>
        </w:rPr>
        <w:t>Comprehensive human cell-type methylation atlas reveals origins of circulating cell-free DNA in health and disease.</w:t>
      </w:r>
      <w:r w:rsidR="00242CE3" w:rsidRPr="00242CE3">
        <w:t xml:space="preserve"> </w:t>
      </w:r>
      <w:r w:rsidR="00242CE3" w:rsidRPr="00242CE3">
        <w:rPr>
          <w:i/>
        </w:rPr>
        <w:t xml:space="preserve">Nat Commun </w:t>
      </w:r>
      <w:r w:rsidR="00242CE3" w:rsidRPr="00242CE3">
        <w:t xml:space="preserve">2018, </w:t>
      </w:r>
      <w:r w:rsidR="00242CE3" w:rsidRPr="00242CE3">
        <w:rPr>
          <w:b/>
        </w:rPr>
        <w:t>9:</w:t>
      </w:r>
      <w:r w:rsidR="00242CE3" w:rsidRPr="00242CE3">
        <w:t>5068.</w:t>
      </w:r>
    </w:p>
    <w:p w:rsidR="00242CE3" w:rsidRPr="00242CE3" w:rsidRDefault="00242CE3" w:rsidP="00242CE3">
      <w:pPr>
        <w:pStyle w:val="EndNoteBibliography"/>
        <w:spacing w:after="0"/>
        <w:ind w:left="720" w:hanging="720"/>
      </w:pPr>
      <w:r w:rsidRPr="00242CE3">
        <w:t>2.</w:t>
      </w:r>
      <w:r w:rsidRPr="00242CE3">
        <w:tab/>
        <w:t xml:space="preserve">Lo YM, Chan KC, Sun H, Chen EZ, Jiang P, Lun FM, Zheng YW, Leung TY, Lau TK, Cantor CR, Chiu RW: </w:t>
      </w:r>
      <w:r w:rsidRPr="00242CE3">
        <w:rPr>
          <w:b/>
        </w:rPr>
        <w:t>Maternal plasma DNA sequencing reveals the genome-wide genetic and mutational profile of the fetus.</w:t>
      </w:r>
      <w:r w:rsidRPr="00242CE3">
        <w:t xml:space="preserve"> </w:t>
      </w:r>
      <w:r w:rsidRPr="00242CE3">
        <w:rPr>
          <w:i/>
        </w:rPr>
        <w:t xml:space="preserve">Sci Transl Med </w:t>
      </w:r>
      <w:r w:rsidRPr="00242CE3">
        <w:t xml:space="preserve">2010, </w:t>
      </w:r>
      <w:r w:rsidRPr="00242CE3">
        <w:rPr>
          <w:b/>
        </w:rPr>
        <w:t>2:</w:t>
      </w:r>
      <w:r w:rsidRPr="00242CE3">
        <w:t>61ra91.</w:t>
      </w:r>
    </w:p>
    <w:p w:rsidR="00242CE3" w:rsidRPr="00242CE3" w:rsidRDefault="00242CE3" w:rsidP="00242CE3">
      <w:pPr>
        <w:pStyle w:val="EndNoteBibliography"/>
        <w:spacing w:after="0"/>
        <w:ind w:left="720" w:hanging="720"/>
      </w:pPr>
      <w:r w:rsidRPr="00242CE3">
        <w:t>3.</w:t>
      </w:r>
      <w:r w:rsidRPr="00242CE3">
        <w:tab/>
        <w:t xml:space="preserve">Wang JC: </w:t>
      </w:r>
      <w:r w:rsidRPr="00242CE3">
        <w:rPr>
          <w:b/>
        </w:rPr>
        <w:t>Helical repeat of DNA in solution.</w:t>
      </w:r>
      <w:r w:rsidRPr="00242CE3">
        <w:t xml:space="preserve"> </w:t>
      </w:r>
      <w:r w:rsidRPr="00242CE3">
        <w:rPr>
          <w:i/>
        </w:rPr>
        <w:t xml:space="preserve">Proc Natl Acad Sci U S A </w:t>
      </w:r>
      <w:r w:rsidRPr="00242CE3">
        <w:t xml:space="preserve">1979, </w:t>
      </w:r>
      <w:r w:rsidRPr="00242CE3">
        <w:rPr>
          <w:b/>
        </w:rPr>
        <w:t>76:</w:t>
      </w:r>
      <w:r w:rsidRPr="00242CE3">
        <w:t>200-203.</w:t>
      </w:r>
    </w:p>
    <w:p w:rsidR="00242CE3" w:rsidRPr="00242CE3" w:rsidRDefault="00242CE3" w:rsidP="00242CE3">
      <w:pPr>
        <w:pStyle w:val="EndNoteBibliography"/>
        <w:ind w:left="720" w:hanging="720"/>
      </w:pPr>
      <w:r w:rsidRPr="00242CE3">
        <w:t>4.</w:t>
      </w:r>
      <w:r w:rsidRPr="00242CE3">
        <w:tab/>
        <w:t xml:space="preserve">Cheng THT, Jiang P, Tam JCW, Sun X, Lee WS, Yu SCY, Teoh JYC, Chiu PKF, Ng CF, Chow KM, et al: </w:t>
      </w:r>
      <w:r w:rsidRPr="00242CE3">
        <w:rPr>
          <w:b/>
        </w:rPr>
        <w:t>Genomewide bisulfite sequencing reveals the origin and time-dependent fragmentation of urinary cfDNA.</w:t>
      </w:r>
      <w:r w:rsidRPr="00242CE3">
        <w:t xml:space="preserve"> </w:t>
      </w:r>
      <w:r w:rsidRPr="00242CE3">
        <w:rPr>
          <w:i/>
        </w:rPr>
        <w:t xml:space="preserve">Clin Biochem </w:t>
      </w:r>
      <w:r w:rsidRPr="00242CE3">
        <w:t xml:space="preserve">2017, </w:t>
      </w:r>
      <w:r w:rsidRPr="00242CE3">
        <w:rPr>
          <w:b/>
        </w:rPr>
        <w:t>50:</w:t>
      </w:r>
      <w:r w:rsidRPr="00242CE3">
        <w:t>496-501.</w:t>
      </w:r>
    </w:p>
    <w:p w:rsidR="008111EE" w:rsidRPr="008D520F" w:rsidRDefault="00794E9B">
      <w:pPr>
        <w:rPr>
          <w:lang w:val="en-GB"/>
        </w:rPr>
      </w:pPr>
      <w:r w:rsidRPr="008D520F">
        <w:rPr>
          <w:lang w:val="en-GB"/>
        </w:rPr>
        <w:fldChar w:fldCharType="end"/>
      </w:r>
    </w:p>
    <w:sectPr w:rsidR="008111EE" w:rsidRPr="008D520F" w:rsidSect="003B49D0">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C56" w:rsidRDefault="00382C56" w:rsidP="00E273AF">
      <w:pPr>
        <w:spacing w:after="0" w:line="240" w:lineRule="auto"/>
      </w:pPr>
      <w:r>
        <w:separator/>
      </w:r>
    </w:p>
  </w:endnote>
  <w:endnote w:type="continuationSeparator" w:id="0">
    <w:p w:rsidR="00382C56" w:rsidRDefault="00382C56" w:rsidP="00E27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C56" w:rsidRDefault="00382C56" w:rsidP="00E273AF">
      <w:pPr>
        <w:spacing w:after="0" w:line="240" w:lineRule="auto"/>
      </w:pPr>
      <w:r>
        <w:separator/>
      </w:r>
    </w:p>
  </w:footnote>
  <w:footnote w:type="continuationSeparator" w:id="0">
    <w:p w:rsidR="00382C56" w:rsidRDefault="00382C56" w:rsidP="00E273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enome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srt2we62ef0mezwzop0z9apaw2wav9rdst&quot;&gt;zMy EndNote Library&lt;record-ids&gt;&lt;item&gt;478&lt;/item&gt;&lt;item&gt;511&lt;/item&gt;&lt;item&gt;513&lt;/item&gt;&lt;item&gt;519&lt;/item&gt;&lt;/record-ids&gt;&lt;/item&gt;&lt;/Libraries&gt;"/>
  </w:docVars>
  <w:rsids>
    <w:rsidRoot w:val="00335B52"/>
    <w:rsid w:val="00003087"/>
    <w:rsid w:val="0004539B"/>
    <w:rsid w:val="0004774B"/>
    <w:rsid w:val="00071DDA"/>
    <w:rsid w:val="000A39AB"/>
    <w:rsid w:val="000C0979"/>
    <w:rsid w:val="000C41F1"/>
    <w:rsid w:val="000E1B5B"/>
    <w:rsid w:val="00106915"/>
    <w:rsid w:val="00110BCA"/>
    <w:rsid w:val="00112A8B"/>
    <w:rsid w:val="00137BE8"/>
    <w:rsid w:val="00152E0D"/>
    <w:rsid w:val="00154E86"/>
    <w:rsid w:val="00165414"/>
    <w:rsid w:val="001711DB"/>
    <w:rsid w:val="00171A97"/>
    <w:rsid w:val="00182346"/>
    <w:rsid w:val="001844F0"/>
    <w:rsid w:val="00187860"/>
    <w:rsid w:val="00191FC8"/>
    <w:rsid w:val="001B376F"/>
    <w:rsid w:val="001B3E6E"/>
    <w:rsid w:val="001B5917"/>
    <w:rsid w:val="001C0617"/>
    <w:rsid w:val="001D205B"/>
    <w:rsid w:val="001D5538"/>
    <w:rsid w:val="001F51B7"/>
    <w:rsid w:val="001F57C7"/>
    <w:rsid w:val="002023AB"/>
    <w:rsid w:val="002029E9"/>
    <w:rsid w:val="00205592"/>
    <w:rsid w:val="00205F7A"/>
    <w:rsid w:val="0020661B"/>
    <w:rsid w:val="00211684"/>
    <w:rsid w:val="00214CB5"/>
    <w:rsid w:val="0021760C"/>
    <w:rsid w:val="00242CE3"/>
    <w:rsid w:val="00244152"/>
    <w:rsid w:val="00247900"/>
    <w:rsid w:val="002539AF"/>
    <w:rsid w:val="00256A81"/>
    <w:rsid w:val="0027129B"/>
    <w:rsid w:val="00280AF6"/>
    <w:rsid w:val="002962D0"/>
    <w:rsid w:val="002962E5"/>
    <w:rsid w:val="00296EBE"/>
    <w:rsid w:val="00297A4A"/>
    <w:rsid w:val="002A6F8C"/>
    <w:rsid w:val="002B291E"/>
    <w:rsid w:val="002B389F"/>
    <w:rsid w:val="002C45F0"/>
    <w:rsid w:val="002C6A24"/>
    <w:rsid w:val="002E53FD"/>
    <w:rsid w:val="003277FB"/>
    <w:rsid w:val="00331FD4"/>
    <w:rsid w:val="00335B52"/>
    <w:rsid w:val="003745DB"/>
    <w:rsid w:val="00374A28"/>
    <w:rsid w:val="00382C56"/>
    <w:rsid w:val="00393B02"/>
    <w:rsid w:val="003B49D0"/>
    <w:rsid w:val="003B6AE1"/>
    <w:rsid w:val="003B7970"/>
    <w:rsid w:val="003C196A"/>
    <w:rsid w:val="003C50CA"/>
    <w:rsid w:val="00413474"/>
    <w:rsid w:val="004467B1"/>
    <w:rsid w:val="00464CB8"/>
    <w:rsid w:val="0047327D"/>
    <w:rsid w:val="00486525"/>
    <w:rsid w:val="004915E6"/>
    <w:rsid w:val="00496673"/>
    <w:rsid w:val="004C00BF"/>
    <w:rsid w:val="004C2E89"/>
    <w:rsid w:val="004D4890"/>
    <w:rsid w:val="004D5E80"/>
    <w:rsid w:val="004E77ED"/>
    <w:rsid w:val="005111EE"/>
    <w:rsid w:val="00516C72"/>
    <w:rsid w:val="00527313"/>
    <w:rsid w:val="00552152"/>
    <w:rsid w:val="0056112A"/>
    <w:rsid w:val="00561DBE"/>
    <w:rsid w:val="005730CD"/>
    <w:rsid w:val="005853BF"/>
    <w:rsid w:val="005A2EEC"/>
    <w:rsid w:val="005A358F"/>
    <w:rsid w:val="005C5C10"/>
    <w:rsid w:val="005C5E85"/>
    <w:rsid w:val="005D1231"/>
    <w:rsid w:val="005F0F0F"/>
    <w:rsid w:val="005F101E"/>
    <w:rsid w:val="005F1B5A"/>
    <w:rsid w:val="005F3FA2"/>
    <w:rsid w:val="005F517E"/>
    <w:rsid w:val="005F7FB9"/>
    <w:rsid w:val="0060725C"/>
    <w:rsid w:val="00620A84"/>
    <w:rsid w:val="0063583D"/>
    <w:rsid w:val="00641571"/>
    <w:rsid w:val="0065499D"/>
    <w:rsid w:val="00656DFA"/>
    <w:rsid w:val="00661DB9"/>
    <w:rsid w:val="006620D4"/>
    <w:rsid w:val="006704B4"/>
    <w:rsid w:val="00675335"/>
    <w:rsid w:val="00691622"/>
    <w:rsid w:val="006B087F"/>
    <w:rsid w:val="006B3F6E"/>
    <w:rsid w:val="006B642A"/>
    <w:rsid w:val="006D4034"/>
    <w:rsid w:val="006D6AD1"/>
    <w:rsid w:val="006E2902"/>
    <w:rsid w:val="006F15DA"/>
    <w:rsid w:val="006F1C1F"/>
    <w:rsid w:val="006F273E"/>
    <w:rsid w:val="00701365"/>
    <w:rsid w:val="007025D5"/>
    <w:rsid w:val="00703DAA"/>
    <w:rsid w:val="00734714"/>
    <w:rsid w:val="00734B9C"/>
    <w:rsid w:val="00762E36"/>
    <w:rsid w:val="00770ECE"/>
    <w:rsid w:val="00785B6F"/>
    <w:rsid w:val="007909B5"/>
    <w:rsid w:val="007919AF"/>
    <w:rsid w:val="00794E9B"/>
    <w:rsid w:val="007B786A"/>
    <w:rsid w:val="007D1E20"/>
    <w:rsid w:val="007F0223"/>
    <w:rsid w:val="008047EE"/>
    <w:rsid w:val="008111EE"/>
    <w:rsid w:val="008364B9"/>
    <w:rsid w:val="00845BA5"/>
    <w:rsid w:val="008512CA"/>
    <w:rsid w:val="00871D97"/>
    <w:rsid w:val="00873D3D"/>
    <w:rsid w:val="00875005"/>
    <w:rsid w:val="00881060"/>
    <w:rsid w:val="00881E19"/>
    <w:rsid w:val="00886069"/>
    <w:rsid w:val="008A5311"/>
    <w:rsid w:val="008A6D9A"/>
    <w:rsid w:val="008C080C"/>
    <w:rsid w:val="008C212A"/>
    <w:rsid w:val="008C4023"/>
    <w:rsid w:val="008D520F"/>
    <w:rsid w:val="008D681C"/>
    <w:rsid w:val="00922841"/>
    <w:rsid w:val="0092710A"/>
    <w:rsid w:val="009351B3"/>
    <w:rsid w:val="009640EB"/>
    <w:rsid w:val="009704A7"/>
    <w:rsid w:val="0098388D"/>
    <w:rsid w:val="0098453E"/>
    <w:rsid w:val="009912F5"/>
    <w:rsid w:val="009A4592"/>
    <w:rsid w:val="009E66E5"/>
    <w:rsid w:val="009F6B42"/>
    <w:rsid w:val="00A0370B"/>
    <w:rsid w:val="00A03DD1"/>
    <w:rsid w:val="00A15069"/>
    <w:rsid w:val="00A362A2"/>
    <w:rsid w:val="00A401B0"/>
    <w:rsid w:val="00A66FA5"/>
    <w:rsid w:val="00A93A82"/>
    <w:rsid w:val="00AA3B2A"/>
    <w:rsid w:val="00AB6781"/>
    <w:rsid w:val="00AD466D"/>
    <w:rsid w:val="00AD581D"/>
    <w:rsid w:val="00AE2536"/>
    <w:rsid w:val="00AF4E42"/>
    <w:rsid w:val="00B15088"/>
    <w:rsid w:val="00B24016"/>
    <w:rsid w:val="00B36E45"/>
    <w:rsid w:val="00B473AF"/>
    <w:rsid w:val="00B52D7D"/>
    <w:rsid w:val="00B84049"/>
    <w:rsid w:val="00B9239D"/>
    <w:rsid w:val="00BB7345"/>
    <w:rsid w:val="00BB7868"/>
    <w:rsid w:val="00BC2790"/>
    <w:rsid w:val="00BC6271"/>
    <w:rsid w:val="00C024B1"/>
    <w:rsid w:val="00C02547"/>
    <w:rsid w:val="00C03ED8"/>
    <w:rsid w:val="00C20F19"/>
    <w:rsid w:val="00C238D8"/>
    <w:rsid w:val="00C2421E"/>
    <w:rsid w:val="00C31A6B"/>
    <w:rsid w:val="00C37BCF"/>
    <w:rsid w:val="00C41F66"/>
    <w:rsid w:val="00C55203"/>
    <w:rsid w:val="00C62F58"/>
    <w:rsid w:val="00C63726"/>
    <w:rsid w:val="00C70882"/>
    <w:rsid w:val="00C74603"/>
    <w:rsid w:val="00C7476B"/>
    <w:rsid w:val="00C77956"/>
    <w:rsid w:val="00C813A8"/>
    <w:rsid w:val="00C85323"/>
    <w:rsid w:val="00C91449"/>
    <w:rsid w:val="00CB5785"/>
    <w:rsid w:val="00CC0487"/>
    <w:rsid w:val="00CC1CAE"/>
    <w:rsid w:val="00CD4925"/>
    <w:rsid w:val="00CE0D0A"/>
    <w:rsid w:val="00D236F7"/>
    <w:rsid w:val="00D318D8"/>
    <w:rsid w:val="00D40138"/>
    <w:rsid w:val="00D531FA"/>
    <w:rsid w:val="00D635A0"/>
    <w:rsid w:val="00D63BD7"/>
    <w:rsid w:val="00D65635"/>
    <w:rsid w:val="00D66236"/>
    <w:rsid w:val="00D75B05"/>
    <w:rsid w:val="00D75CAB"/>
    <w:rsid w:val="00D87BA1"/>
    <w:rsid w:val="00DA081B"/>
    <w:rsid w:val="00DE2762"/>
    <w:rsid w:val="00E00973"/>
    <w:rsid w:val="00E22B1A"/>
    <w:rsid w:val="00E24BE8"/>
    <w:rsid w:val="00E273AF"/>
    <w:rsid w:val="00E310BE"/>
    <w:rsid w:val="00E412F5"/>
    <w:rsid w:val="00E5073C"/>
    <w:rsid w:val="00E54216"/>
    <w:rsid w:val="00E6106C"/>
    <w:rsid w:val="00E752DC"/>
    <w:rsid w:val="00E844E9"/>
    <w:rsid w:val="00E970AE"/>
    <w:rsid w:val="00EA42D5"/>
    <w:rsid w:val="00EB4F15"/>
    <w:rsid w:val="00EC0B0E"/>
    <w:rsid w:val="00EC3C15"/>
    <w:rsid w:val="00EC5057"/>
    <w:rsid w:val="00ED573C"/>
    <w:rsid w:val="00EE2829"/>
    <w:rsid w:val="00EF1835"/>
    <w:rsid w:val="00EF5843"/>
    <w:rsid w:val="00F14BD4"/>
    <w:rsid w:val="00F20721"/>
    <w:rsid w:val="00F24974"/>
    <w:rsid w:val="00F2659D"/>
    <w:rsid w:val="00F418CF"/>
    <w:rsid w:val="00F41DE7"/>
    <w:rsid w:val="00F550D4"/>
    <w:rsid w:val="00F75956"/>
    <w:rsid w:val="00F8580F"/>
    <w:rsid w:val="00F85D17"/>
    <w:rsid w:val="00F91053"/>
    <w:rsid w:val="00FF28C9"/>
    <w:rsid w:val="00FF52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9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E89"/>
    <w:pPr>
      <w:spacing w:after="200" w:line="276" w:lineRule="auto"/>
    </w:pPr>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3583D"/>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3583D"/>
    <w:rPr>
      <w:rFonts w:ascii="Calibri" w:hAnsi="Calibri"/>
      <w:noProof/>
    </w:rPr>
  </w:style>
  <w:style w:type="paragraph" w:customStyle="1" w:styleId="EndNoteBibliography">
    <w:name w:val="EndNote Bibliography"/>
    <w:basedOn w:val="Normal"/>
    <w:link w:val="EndNoteBibliographyChar"/>
    <w:rsid w:val="0063583D"/>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3583D"/>
    <w:rPr>
      <w:rFonts w:ascii="Calibri" w:hAnsi="Calibri"/>
      <w:noProof/>
    </w:rPr>
  </w:style>
  <w:style w:type="character" w:styleId="CommentReference">
    <w:name w:val="annotation reference"/>
    <w:basedOn w:val="DefaultParagraphFont"/>
    <w:uiPriority w:val="99"/>
    <w:semiHidden/>
    <w:unhideWhenUsed/>
    <w:rsid w:val="008C080C"/>
    <w:rPr>
      <w:sz w:val="16"/>
      <w:szCs w:val="16"/>
    </w:rPr>
  </w:style>
  <w:style w:type="paragraph" w:styleId="CommentText">
    <w:name w:val="annotation text"/>
    <w:basedOn w:val="Normal"/>
    <w:link w:val="CommentTextChar"/>
    <w:uiPriority w:val="99"/>
    <w:semiHidden/>
    <w:unhideWhenUsed/>
    <w:rsid w:val="008C080C"/>
    <w:pPr>
      <w:spacing w:line="240" w:lineRule="auto"/>
    </w:pPr>
    <w:rPr>
      <w:sz w:val="20"/>
      <w:szCs w:val="20"/>
    </w:rPr>
  </w:style>
  <w:style w:type="character" w:customStyle="1" w:styleId="CommentTextChar">
    <w:name w:val="Comment Text Char"/>
    <w:basedOn w:val="DefaultParagraphFont"/>
    <w:link w:val="CommentText"/>
    <w:uiPriority w:val="99"/>
    <w:semiHidden/>
    <w:rsid w:val="008C080C"/>
    <w:rPr>
      <w:sz w:val="20"/>
      <w:szCs w:val="20"/>
      <w:lang w:val="de-DE"/>
    </w:rPr>
  </w:style>
  <w:style w:type="paragraph" w:styleId="BalloonText">
    <w:name w:val="Balloon Text"/>
    <w:basedOn w:val="Normal"/>
    <w:link w:val="BalloonTextChar"/>
    <w:uiPriority w:val="99"/>
    <w:semiHidden/>
    <w:unhideWhenUsed/>
    <w:rsid w:val="008C0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80C"/>
    <w:rPr>
      <w:rFonts w:ascii="Segoe UI" w:hAnsi="Segoe UI" w:cs="Segoe UI"/>
      <w:sz w:val="18"/>
      <w:szCs w:val="18"/>
      <w:lang w:val="de-DE"/>
    </w:rPr>
  </w:style>
  <w:style w:type="paragraph" w:styleId="CommentSubject">
    <w:name w:val="annotation subject"/>
    <w:basedOn w:val="CommentText"/>
    <w:next w:val="CommentText"/>
    <w:link w:val="CommentSubjectChar"/>
    <w:uiPriority w:val="99"/>
    <w:semiHidden/>
    <w:unhideWhenUsed/>
    <w:rsid w:val="00B84049"/>
    <w:rPr>
      <w:b/>
      <w:bCs/>
    </w:rPr>
  </w:style>
  <w:style w:type="character" w:customStyle="1" w:styleId="CommentSubjectChar">
    <w:name w:val="Comment Subject Char"/>
    <w:basedOn w:val="CommentTextChar"/>
    <w:link w:val="CommentSubject"/>
    <w:uiPriority w:val="99"/>
    <w:semiHidden/>
    <w:rsid w:val="00B84049"/>
    <w:rPr>
      <w:b/>
      <w:bCs/>
      <w:sz w:val="20"/>
      <w:szCs w:val="20"/>
      <w:lang w:val="de-DE"/>
    </w:rPr>
  </w:style>
  <w:style w:type="paragraph" w:styleId="Caption">
    <w:name w:val="caption"/>
    <w:basedOn w:val="Normal"/>
    <w:next w:val="Normal"/>
    <w:uiPriority w:val="99"/>
    <w:qFormat/>
    <w:rsid w:val="00165414"/>
    <w:pPr>
      <w:spacing w:before="120" w:after="320" w:line="240" w:lineRule="auto"/>
    </w:pPr>
    <w:rPr>
      <w:rFonts w:ascii="Calibri" w:eastAsia="Calibri" w:hAnsi="Calibri" w:cs="Times New Roman"/>
      <w:b/>
      <w:bCs/>
      <w:color w:val="4F81BD"/>
      <w:sz w:val="18"/>
      <w:szCs w:val="18"/>
      <w:lang w:val="en-US"/>
    </w:rPr>
  </w:style>
  <w:style w:type="table" w:styleId="TableGrid">
    <w:name w:val="Table Grid"/>
    <w:basedOn w:val="TableNormal"/>
    <w:rsid w:val="00F85D17"/>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73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73AF"/>
    <w:rPr>
      <w:lang w:val="de-DE"/>
    </w:rPr>
  </w:style>
  <w:style w:type="paragraph" w:styleId="Footer">
    <w:name w:val="footer"/>
    <w:basedOn w:val="Normal"/>
    <w:link w:val="FooterChar"/>
    <w:uiPriority w:val="99"/>
    <w:unhideWhenUsed/>
    <w:rsid w:val="00E273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73AF"/>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097738">
      <w:bodyDiv w:val="1"/>
      <w:marLeft w:val="0"/>
      <w:marRight w:val="0"/>
      <w:marTop w:val="0"/>
      <w:marBottom w:val="0"/>
      <w:divBdr>
        <w:top w:val="none" w:sz="0" w:space="0" w:color="auto"/>
        <w:left w:val="none" w:sz="0" w:space="0" w:color="auto"/>
        <w:bottom w:val="none" w:sz="0" w:space="0" w:color="auto"/>
        <w:right w:val="none" w:sz="0" w:space="0" w:color="auto"/>
      </w:divBdr>
    </w:div>
    <w:div w:id="760295443">
      <w:bodyDiv w:val="1"/>
      <w:marLeft w:val="0"/>
      <w:marRight w:val="0"/>
      <w:marTop w:val="0"/>
      <w:marBottom w:val="0"/>
      <w:divBdr>
        <w:top w:val="none" w:sz="0" w:space="0" w:color="auto"/>
        <w:left w:val="none" w:sz="0" w:space="0" w:color="auto"/>
        <w:bottom w:val="none" w:sz="0" w:space="0" w:color="auto"/>
        <w:right w:val="none" w:sz="0" w:space="0" w:color="auto"/>
      </w:divBdr>
    </w:div>
    <w:div w:id="790827373">
      <w:bodyDiv w:val="1"/>
      <w:marLeft w:val="0"/>
      <w:marRight w:val="0"/>
      <w:marTop w:val="0"/>
      <w:marBottom w:val="0"/>
      <w:divBdr>
        <w:top w:val="none" w:sz="0" w:space="0" w:color="auto"/>
        <w:left w:val="none" w:sz="0" w:space="0" w:color="auto"/>
        <w:bottom w:val="none" w:sz="0" w:space="0" w:color="auto"/>
        <w:right w:val="none" w:sz="0" w:space="0" w:color="auto"/>
      </w:divBdr>
    </w:div>
    <w:div w:id="980308710">
      <w:bodyDiv w:val="1"/>
      <w:marLeft w:val="0"/>
      <w:marRight w:val="0"/>
      <w:marTop w:val="0"/>
      <w:marBottom w:val="0"/>
      <w:divBdr>
        <w:top w:val="none" w:sz="0" w:space="0" w:color="auto"/>
        <w:left w:val="none" w:sz="0" w:space="0" w:color="auto"/>
        <w:bottom w:val="none" w:sz="0" w:space="0" w:color="auto"/>
        <w:right w:val="none" w:sz="0" w:space="0" w:color="auto"/>
      </w:divBdr>
    </w:div>
    <w:div w:id="1236550184">
      <w:bodyDiv w:val="1"/>
      <w:marLeft w:val="0"/>
      <w:marRight w:val="0"/>
      <w:marTop w:val="0"/>
      <w:marBottom w:val="0"/>
      <w:divBdr>
        <w:top w:val="none" w:sz="0" w:space="0" w:color="auto"/>
        <w:left w:val="none" w:sz="0" w:space="0" w:color="auto"/>
        <w:bottom w:val="none" w:sz="0" w:space="0" w:color="auto"/>
        <w:right w:val="none" w:sz="0" w:space="0" w:color="auto"/>
      </w:divBdr>
      <w:divsChild>
        <w:div w:id="390887888">
          <w:marLeft w:val="0"/>
          <w:marRight w:val="0"/>
          <w:marTop w:val="0"/>
          <w:marBottom w:val="0"/>
          <w:divBdr>
            <w:top w:val="none" w:sz="0" w:space="0" w:color="auto"/>
            <w:left w:val="none" w:sz="0" w:space="0" w:color="auto"/>
            <w:bottom w:val="none" w:sz="0" w:space="0" w:color="auto"/>
            <w:right w:val="none" w:sz="0" w:space="0" w:color="auto"/>
          </w:divBdr>
          <w:divsChild>
            <w:div w:id="14919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75289">
      <w:bodyDiv w:val="1"/>
      <w:marLeft w:val="0"/>
      <w:marRight w:val="0"/>
      <w:marTop w:val="0"/>
      <w:marBottom w:val="0"/>
      <w:divBdr>
        <w:top w:val="none" w:sz="0" w:space="0" w:color="auto"/>
        <w:left w:val="none" w:sz="0" w:space="0" w:color="auto"/>
        <w:bottom w:val="none" w:sz="0" w:space="0" w:color="auto"/>
        <w:right w:val="none" w:sz="0" w:space="0" w:color="auto"/>
      </w:divBdr>
    </w:div>
    <w:div w:id="1424687268">
      <w:bodyDiv w:val="1"/>
      <w:marLeft w:val="0"/>
      <w:marRight w:val="0"/>
      <w:marTop w:val="0"/>
      <w:marBottom w:val="0"/>
      <w:divBdr>
        <w:top w:val="none" w:sz="0" w:space="0" w:color="auto"/>
        <w:left w:val="none" w:sz="0" w:space="0" w:color="auto"/>
        <w:bottom w:val="none" w:sz="0" w:space="0" w:color="auto"/>
        <w:right w:val="none" w:sz="0" w:space="0" w:color="auto"/>
      </w:divBdr>
    </w:div>
    <w:div w:id="1521040761">
      <w:bodyDiv w:val="1"/>
      <w:marLeft w:val="0"/>
      <w:marRight w:val="0"/>
      <w:marTop w:val="0"/>
      <w:marBottom w:val="0"/>
      <w:divBdr>
        <w:top w:val="none" w:sz="0" w:space="0" w:color="auto"/>
        <w:left w:val="none" w:sz="0" w:space="0" w:color="auto"/>
        <w:bottom w:val="none" w:sz="0" w:space="0" w:color="auto"/>
        <w:right w:val="none" w:sz="0" w:space="0" w:color="auto"/>
      </w:divBdr>
    </w:div>
    <w:div w:id="175342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4192</Words>
  <Characters>23898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2020-02-05T20:12:00Z</dcterms:created>
  <dcterms:modified xsi:type="dcterms:W3CDTF">2020-06-01T17:02:00Z</dcterms:modified>
</cp:coreProperties>
</file>