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  <w:r w:rsidRPr="00445235">
        <w:rPr>
          <w:b/>
          <w:noProof/>
          <w:lang w:val="en-US"/>
        </w:rPr>
        <w:t>Supplementary data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b/>
          <w:noProof/>
          <w:lang w:val="en-US"/>
        </w:rPr>
      </w:pPr>
      <w:r w:rsidRPr="00445235">
        <w:rPr>
          <w:b/>
          <w:noProof/>
          <w:lang w:val="en-US"/>
        </w:rPr>
        <w:t>Supplementary Tables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  <w:r w:rsidRPr="00445235">
        <w:rPr>
          <w:b/>
          <w:noProof/>
          <w:lang w:val="en-US"/>
        </w:rPr>
        <w:t>Suppl. Table 1: Mutational profiling of PDX by Illumina TruSequ Amplicon Cancer Panel.</w:t>
      </w:r>
      <w:r w:rsidRPr="00445235">
        <w:rPr>
          <w:noProof/>
          <w:lang w:val="en-US"/>
        </w:rPr>
        <w:t xml:space="preserve"> In this profiling 212 amplicons of 48 oncogenes were analyzed. The table summarizes the mutational status of the most relevant oncogenes in CRC assessed by this analysis.</w:t>
      </w:r>
    </w:p>
    <w:tbl>
      <w:tblPr>
        <w:tblpPr w:leftFromText="141" w:rightFromText="141" w:vertAnchor="text" w:horzAnchor="margin" w:tblpX="70" w:tblpY="906"/>
        <w:tblW w:w="8959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68"/>
        <w:gridCol w:w="1540"/>
        <w:gridCol w:w="717"/>
        <w:gridCol w:w="717"/>
        <w:gridCol w:w="912"/>
        <w:gridCol w:w="935"/>
        <w:gridCol w:w="1306"/>
        <w:gridCol w:w="861"/>
        <w:gridCol w:w="1003"/>
      </w:tblGrid>
      <w:tr w:rsidR="003D39A9" w:rsidRPr="00445235" w:rsidTr="008F5546">
        <w:trPr>
          <w:trHeight w:hRule="exact" w:val="290"/>
        </w:trPr>
        <w:tc>
          <w:tcPr>
            <w:tcW w:w="9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45235">
              <w:rPr>
                <w:rFonts w:ascii="Arial" w:hAnsi="Arial" w:cs="Arial"/>
                <w:b/>
                <w:sz w:val="28"/>
                <w:szCs w:val="28"/>
              </w:rPr>
              <w:t>PDX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APC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BRAF</w:t>
            </w:r>
          </w:p>
        </w:tc>
        <w:tc>
          <w:tcPr>
            <w:tcW w:w="7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EGFR</w:t>
            </w: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KRAS</w:t>
            </w:r>
          </w:p>
        </w:tc>
        <w:tc>
          <w:tcPr>
            <w:tcW w:w="9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NRAS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PIK3CA</w:t>
            </w:r>
          </w:p>
        </w:tc>
        <w:tc>
          <w:tcPr>
            <w:tcW w:w="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PTEN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sz w:val="16"/>
                <w:szCs w:val="16"/>
              </w:rPr>
              <w:t>TP53</w:t>
            </w:r>
          </w:p>
        </w:tc>
      </w:tr>
      <w:tr w:rsidR="003D39A9" w:rsidRPr="00445235" w:rsidTr="008F5546">
        <w:trPr>
          <w:trHeight w:hRule="exact" w:val="290"/>
        </w:trPr>
        <w:tc>
          <w:tcPr>
            <w:tcW w:w="968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991" w:type="dxa"/>
            <w:gridSpan w:val="8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  <w:t>AA mutation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top w:val="double" w:sz="4" w:space="0" w:color="auto"/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5676</w:t>
            </w:r>
          </w:p>
        </w:tc>
        <w:tc>
          <w:tcPr>
            <w:tcW w:w="1540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tcBorders>
              <w:top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doub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5677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5679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E1451X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G13D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R273H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5682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G12S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G206C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5734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V172F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5735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L194R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5736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5771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S1392X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Q61H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Q546K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5776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E1306X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A146T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V173F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5841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Q1123X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R196X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5854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E1538X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V600E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E542K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G293V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5896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G12S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P278L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6044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S1356X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6228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R175H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7271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G12A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R175H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7475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A146T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E545K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7515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R335X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R267X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7523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G466R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G12E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7553A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7553B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7567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Q1406X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G12A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R175H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7596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R876X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R243W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7660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G12A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R175H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7689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7809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Indel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R273C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7818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G469V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R248Q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7835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K1308X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E545G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R273C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7888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A146V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R248Q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7935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E1322X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9587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R876X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del104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39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9634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Q61H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C420R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  <w:r w:rsidRPr="00445235">
              <w:rPr>
                <w:rFonts w:ascii="Arial" w:hAnsi="Arial" w:cs="Arial"/>
                <w:sz w:val="16"/>
                <w:szCs w:val="16"/>
              </w:rPr>
              <w:t>; R88Q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9689A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Q1378X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R248W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9689B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Q1378X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R248W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9729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E1397X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9775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G245S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9946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ins1414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Q61R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N345I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R306X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9978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E1322X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9997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Q1429X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  <w:r w:rsidRPr="00445235">
              <w:rPr>
                <w:rFonts w:ascii="Arial" w:hAnsi="Arial" w:cs="Arial"/>
                <w:sz w:val="16"/>
                <w:szCs w:val="16"/>
              </w:rPr>
              <w:t>; del904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G12A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10158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99, Q1429X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A146T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Co 10194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A876X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  <w:r w:rsidRPr="00445235">
              <w:rPr>
                <w:rFonts w:ascii="Arial" w:hAnsi="Arial" w:cs="Arial"/>
                <w:sz w:val="16"/>
                <w:szCs w:val="16"/>
              </w:rPr>
              <w:t>; E1306X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10300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Q1429X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  <w:r w:rsidRPr="00445235">
              <w:rPr>
                <w:rFonts w:ascii="Arial" w:hAnsi="Arial" w:cs="Arial"/>
                <w:sz w:val="16"/>
                <w:szCs w:val="16"/>
              </w:rPr>
              <w:t>; del904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G12A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Co10302A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E1521V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V600E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Co10302B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V600E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10377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Q1406X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A146T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del106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R248W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10383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G12C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39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10588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center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G12V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E211X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  <w:r w:rsidRPr="00445235">
              <w:rPr>
                <w:rFonts w:ascii="Arial" w:hAnsi="Arial" w:cs="Arial"/>
                <w:sz w:val="16"/>
                <w:szCs w:val="16"/>
              </w:rPr>
              <w:t xml:space="preserve"> Y163X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10764</w:t>
            </w:r>
          </w:p>
        </w:tc>
        <w:tc>
          <w:tcPr>
            <w:tcW w:w="1540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G13D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935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R196X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10925</w:t>
            </w:r>
          </w:p>
        </w:tc>
        <w:tc>
          <w:tcPr>
            <w:tcW w:w="1540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E1379X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HO</w:t>
            </w: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3" w:type="dxa"/>
            <w:tcBorders>
              <w:right w:val="single" w:sz="12" w:space="0" w:color="auto"/>
            </w:tcBorders>
            <w:shd w:val="clear" w:color="auto" w:fill="DBE5F1" w:themeFill="accent1" w:themeFillTint="33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Co 11061</w:t>
            </w:r>
          </w:p>
        </w:tc>
        <w:tc>
          <w:tcPr>
            <w:tcW w:w="1540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del1412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717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12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35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1" w:type="dxa"/>
            <w:tcBorders>
              <w:bottom w:val="double" w:sz="4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del321</w:t>
            </w:r>
            <w:r w:rsidRPr="00445235">
              <w:rPr>
                <w:rFonts w:ascii="Arial" w:hAnsi="Arial" w:cs="Arial"/>
                <w:i/>
                <w:sz w:val="16"/>
                <w:szCs w:val="16"/>
                <w:vertAlign w:val="superscript"/>
              </w:rPr>
              <w:t>HE</w:t>
            </w:r>
          </w:p>
        </w:tc>
        <w:tc>
          <w:tcPr>
            <w:tcW w:w="1003" w:type="dxa"/>
            <w:tcBorders>
              <w:bottom w:val="doub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D39A9" w:rsidRPr="00445235" w:rsidRDefault="003D39A9" w:rsidP="008F5546">
            <w:pPr>
              <w:keepNext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27"/>
        </w:trPr>
        <w:tc>
          <w:tcPr>
            <w:tcW w:w="96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3D39A9" w:rsidRPr="00445235" w:rsidRDefault="003D39A9" w:rsidP="008F5546">
            <w:pPr>
              <w:keepNext/>
              <w:shd w:val="clear" w:color="auto" w:fill="D9D9D9" w:themeFill="background1" w:themeFillShade="D9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  <w:r w:rsidRPr="00445235">
              <w:rPr>
                <w:rFonts w:ascii="Arial" w:hAnsi="Arial" w:cs="Arial"/>
                <w:b/>
                <w:bCs/>
                <w:i/>
                <w:color w:val="000000"/>
                <w:sz w:val="16"/>
                <w:szCs w:val="16"/>
              </w:rPr>
              <w:t>mut</w:t>
            </w:r>
            <w:r w:rsidRPr="0044523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PDX</w:t>
            </w:r>
          </w:p>
        </w:tc>
        <w:tc>
          <w:tcPr>
            <w:tcW w:w="1540" w:type="dxa"/>
            <w:tcBorders>
              <w:top w:val="doub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67.3</w:t>
            </w:r>
          </w:p>
        </w:tc>
        <w:tc>
          <w:tcPr>
            <w:tcW w:w="717" w:type="dxa"/>
            <w:tcBorders>
              <w:top w:val="doub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10.2</w:t>
            </w:r>
          </w:p>
        </w:tc>
        <w:tc>
          <w:tcPr>
            <w:tcW w:w="717" w:type="dxa"/>
            <w:tcBorders>
              <w:top w:val="doub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0.0</w:t>
            </w:r>
          </w:p>
        </w:tc>
        <w:tc>
          <w:tcPr>
            <w:tcW w:w="912" w:type="dxa"/>
            <w:tcBorders>
              <w:top w:val="doub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55.1</w:t>
            </w:r>
          </w:p>
        </w:tc>
        <w:tc>
          <w:tcPr>
            <w:tcW w:w="935" w:type="dxa"/>
            <w:tcBorders>
              <w:top w:val="doub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4.1</w:t>
            </w:r>
          </w:p>
        </w:tc>
        <w:tc>
          <w:tcPr>
            <w:tcW w:w="1306" w:type="dxa"/>
            <w:tcBorders>
              <w:top w:val="doub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16.3</w:t>
            </w:r>
          </w:p>
        </w:tc>
        <w:tc>
          <w:tcPr>
            <w:tcW w:w="861" w:type="dxa"/>
            <w:tcBorders>
              <w:top w:val="double" w:sz="4" w:space="0" w:color="auto"/>
              <w:bottom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6.1</w:t>
            </w:r>
          </w:p>
        </w:tc>
        <w:tc>
          <w:tcPr>
            <w:tcW w:w="1003" w:type="dxa"/>
            <w:tcBorders>
              <w:top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95B3D7" w:themeFill="accent1" w:themeFillTint="99"/>
            <w:vAlign w:val="center"/>
          </w:tcPr>
          <w:p w:rsidR="003D39A9" w:rsidRPr="00445235" w:rsidRDefault="003D39A9" w:rsidP="008F5546">
            <w:pPr>
              <w:keepNext/>
              <w:shd w:val="clear" w:color="auto" w:fill="D9D9D9" w:themeFill="background1" w:themeFillShade="D9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53.1</w:t>
            </w:r>
          </w:p>
        </w:tc>
      </w:tr>
    </w:tbl>
    <w:p w:rsidR="003D39A9" w:rsidRPr="00445235" w:rsidRDefault="003D39A9" w:rsidP="003D39A9">
      <w:pPr>
        <w:widowControl w:val="0"/>
        <w:shd w:val="clear" w:color="auto" w:fill="D9D9D9" w:themeFill="background1" w:themeFillShade="D9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spacing w:line="240" w:lineRule="auto"/>
        <w:rPr>
          <w:sz w:val="20"/>
          <w:szCs w:val="20"/>
          <w:lang w:val="en-US"/>
        </w:rPr>
      </w:pPr>
      <w:r w:rsidRPr="00445235">
        <w:rPr>
          <w:sz w:val="20"/>
          <w:szCs w:val="20"/>
          <w:vertAlign w:val="superscript"/>
          <w:lang w:val="en-US"/>
        </w:rPr>
        <w:t>1 -5</w:t>
      </w:r>
      <w:r w:rsidRPr="00445235">
        <w:rPr>
          <w:sz w:val="20"/>
          <w:szCs w:val="20"/>
          <w:lang w:val="en-US"/>
        </w:rPr>
        <w:t xml:space="preserve"> PDX models were derived from the same patient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  <w:r w:rsidRPr="00445235">
        <w:rPr>
          <w:b/>
          <w:noProof/>
          <w:lang w:val="en-US"/>
        </w:rPr>
        <w:t>Suppl. Table 2: Sensitivity of the PDX towards standard of care drugs.</w:t>
      </w:r>
      <w:r w:rsidRPr="00445235">
        <w:rPr>
          <w:noProof/>
          <w:lang w:val="en-US"/>
        </w:rPr>
        <w:t xml:space="preserve"> The table summarizes </w:t>
      </w:r>
      <w:r w:rsidRPr="00445235">
        <w:rPr>
          <w:noProof/>
          <w:lang w:val="en-US"/>
        </w:rPr>
        <w:lastRenderedPageBreak/>
        <w:t>the chemosensitivity data by tumor response scores basd on the optimal treated to control values (optT/C): (-) negative, optT/C value 50-100%; (+), optT/C value 25-50%; (++), optT/C value 10-25%; (+++), optT/C value 5-10%; (++++), optT/C value 0-5%.</w:t>
      </w:r>
    </w:p>
    <w:tbl>
      <w:tblPr>
        <w:tblStyle w:val="MediumList2"/>
        <w:tblpPr w:leftFromText="227" w:rightFromText="181" w:vertAnchor="text" w:horzAnchor="margin" w:tblpY="185"/>
        <w:tblW w:w="8789" w:type="dxa"/>
        <w:tblLayout w:type="fixed"/>
        <w:tblLook w:val="0400"/>
      </w:tblPr>
      <w:tblGrid>
        <w:gridCol w:w="1145"/>
        <w:gridCol w:w="846"/>
        <w:gridCol w:w="733"/>
        <w:gridCol w:w="733"/>
        <w:gridCol w:w="236"/>
        <w:gridCol w:w="846"/>
        <w:gridCol w:w="733"/>
        <w:gridCol w:w="733"/>
        <w:gridCol w:w="236"/>
        <w:gridCol w:w="846"/>
        <w:gridCol w:w="733"/>
        <w:gridCol w:w="733"/>
        <w:gridCol w:w="236"/>
      </w:tblGrid>
      <w:tr w:rsidR="003D39A9" w:rsidRPr="00445235" w:rsidTr="008F5546">
        <w:trPr>
          <w:cnfStyle w:val="000000100000"/>
          <w:trHeight w:val="245"/>
        </w:trPr>
        <w:tc>
          <w:tcPr>
            <w:tcW w:w="114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5235">
              <w:rPr>
                <w:rFonts w:ascii="Arial" w:hAnsi="Arial" w:cs="Arial"/>
                <w:b/>
                <w:bCs/>
                <w:sz w:val="28"/>
                <w:szCs w:val="28"/>
              </w:rPr>
              <w:t>PDX</w:t>
            </w:r>
          </w:p>
        </w:tc>
        <w:tc>
          <w:tcPr>
            <w:tcW w:w="2312" w:type="dxa"/>
            <w:gridSpan w:val="3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5-FU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312" w:type="dxa"/>
            <w:gridSpan w:val="3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Irinotecan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312" w:type="dxa"/>
            <w:gridSpan w:val="3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Oxaliplatin</w:t>
            </w:r>
          </w:p>
        </w:tc>
        <w:tc>
          <w:tcPr>
            <w:tcW w:w="236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51D0F" w:rsidRPr="00445235" w:rsidTr="008F5546">
        <w:trPr>
          <w:trHeight w:val="245"/>
        </w:trPr>
        <w:tc>
          <w:tcPr>
            <w:tcW w:w="1145" w:type="dxa"/>
            <w:vMerge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opt T/C</w:t>
            </w:r>
          </w:p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[%]</w:t>
            </w:r>
          </w:p>
        </w:tc>
        <w:tc>
          <w:tcPr>
            <w:tcW w:w="73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score</w:t>
            </w:r>
          </w:p>
        </w:tc>
        <w:tc>
          <w:tcPr>
            <w:tcW w:w="73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7"/>
                <w:szCs w:val="17"/>
                <w:lang w:val="en-GB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  <w:lang w:val="en-GB"/>
              </w:rPr>
              <w:t>RTV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opt T/C</w:t>
            </w:r>
          </w:p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[%]</w:t>
            </w:r>
          </w:p>
        </w:tc>
        <w:tc>
          <w:tcPr>
            <w:tcW w:w="73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score</w:t>
            </w:r>
          </w:p>
        </w:tc>
        <w:tc>
          <w:tcPr>
            <w:tcW w:w="73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7"/>
                <w:szCs w:val="17"/>
                <w:lang w:val="en-GB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  <w:lang w:val="en-GB"/>
              </w:rPr>
              <w:t>RTV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opt T/C</w:t>
            </w:r>
          </w:p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[%]</w:t>
            </w:r>
          </w:p>
        </w:tc>
        <w:tc>
          <w:tcPr>
            <w:tcW w:w="73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score</w:t>
            </w:r>
          </w:p>
        </w:tc>
        <w:tc>
          <w:tcPr>
            <w:tcW w:w="733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7"/>
                <w:szCs w:val="17"/>
                <w:lang w:val="en-GB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  <w:lang w:val="en-GB"/>
              </w:rPr>
              <w:t>RTV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top w:val="single" w:sz="12" w:space="0" w:color="auto"/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5676</w:t>
            </w:r>
          </w:p>
        </w:tc>
        <w:tc>
          <w:tcPr>
            <w:tcW w:w="846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47.6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16.6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0.6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60.61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2.03</w:t>
            </w:r>
          </w:p>
        </w:tc>
        <w:tc>
          <w:tcPr>
            <w:tcW w:w="236" w:type="dxa"/>
            <w:tcBorders>
              <w:top w:val="single" w:sz="12" w:space="0" w:color="auto"/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5677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64.5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18.8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107.3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8.9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5679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35.5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14.8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95.3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10.2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5682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43.6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49.1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60.3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1.7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5734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30.9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57.8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5735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21.6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1.8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5736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73.1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46.2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1.3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60.8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6.2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5771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11.5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59.2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5776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47.6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6.37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18.5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5841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47.1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2.32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34.1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22.6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5854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93.7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31.8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25.9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5.3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5896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74.32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2.85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47.46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44.7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4.9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6044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21.3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14.2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6228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74.14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3.9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22.41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1.46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43.8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(+)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5.4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7271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21.2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86.6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9.1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7475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12.38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0.27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88.1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8.8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7515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50.53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3.05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25.26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34.6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3.5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7523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41.8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24.59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1.09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55.8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7553A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42.86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3.28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11.43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58.8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6.6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7553B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55.71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3.58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18.45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0.93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63.5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7567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54.39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31.34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80.2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3.1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7596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52.38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7.14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0.47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138.7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8.9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7660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n.a.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n.a.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n.a.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n.a.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n.a.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n.a.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75.1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2.4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7689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77.12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5.37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12.14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1.42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19.1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7809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88.75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7.87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++++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0.28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26.3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1.3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7818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71.43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10.33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10.22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41.4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7835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33.59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5.95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3.98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5.7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7888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52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2.63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11.11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0.38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60.7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7935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82.73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3.37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27.85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63.1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2.1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9587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54.9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74.8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58.4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9634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39.3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12.4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48.1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9689A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64.9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31.7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54.3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9689B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103.8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67.2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9729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106.1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118.3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94.5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1.7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9775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30.4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18.5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51.8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3.9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9946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86.9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71.1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79.1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9978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20.6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38.2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19.5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9997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52.4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27.4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97.6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10158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18.3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11.1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20.6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3.5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10194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85.7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4.9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38.9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10300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56.3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26.2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1.3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97.2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Co10302A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46.9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37.4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72.4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Co10302B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44.6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(+)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25.7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72.7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10377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126.4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32.1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69.6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15.7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10383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5.6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70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10588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188.4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53.3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133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- 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4.4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10764</w:t>
            </w: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40.7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3.4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28.8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48.5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</w:t>
            </w:r>
          </w:p>
        </w:tc>
        <w:tc>
          <w:tcPr>
            <w:tcW w:w="733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145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10925</w:t>
            </w: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17.8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11.6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25.2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top w:val="nil"/>
              <w:bottom w:val="nil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145" w:type="dxa"/>
            <w:tcBorders>
              <w:left w:val="single" w:sz="12" w:space="0" w:color="000000"/>
              <w:bottom w:val="double" w:sz="4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11061</w:t>
            </w:r>
          </w:p>
        </w:tc>
        <w:tc>
          <w:tcPr>
            <w:tcW w:w="846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21.9</w:t>
            </w:r>
          </w:p>
        </w:tc>
        <w:tc>
          <w:tcPr>
            <w:tcW w:w="733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</w:t>
            </w:r>
          </w:p>
        </w:tc>
        <w:tc>
          <w:tcPr>
            <w:tcW w:w="733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1.8</w:t>
            </w:r>
          </w:p>
        </w:tc>
        <w:tc>
          <w:tcPr>
            <w:tcW w:w="236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24</w:t>
            </w:r>
          </w:p>
        </w:tc>
        <w:tc>
          <w:tcPr>
            <w:tcW w:w="733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++ </w:t>
            </w:r>
          </w:p>
        </w:tc>
        <w:tc>
          <w:tcPr>
            <w:tcW w:w="733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2.3</w:t>
            </w:r>
          </w:p>
        </w:tc>
        <w:tc>
          <w:tcPr>
            <w:tcW w:w="236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46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42.5</w:t>
            </w:r>
          </w:p>
        </w:tc>
        <w:tc>
          <w:tcPr>
            <w:tcW w:w="733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 xml:space="preserve"> + </w:t>
            </w:r>
          </w:p>
        </w:tc>
        <w:tc>
          <w:tcPr>
            <w:tcW w:w="733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4.1</w:t>
            </w:r>
          </w:p>
        </w:tc>
        <w:tc>
          <w:tcPr>
            <w:tcW w:w="236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spacing w:line="240" w:lineRule="auto"/>
        <w:rPr>
          <w:sz w:val="20"/>
          <w:szCs w:val="20"/>
          <w:lang w:val="en-US"/>
        </w:rPr>
      </w:pPr>
      <w:r w:rsidRPr="00445235">
        <w:rPr>
          <w:sz w:val="20"/>
          <w:szCs w:val="20"/>
          <w:vertAlign w:val="superscript"/>
          <w:lang w:val="en-US"/>
        </w:rPr>
        <w:t>1 -5</w:t>
      </w:r>
      <w:r w:rsidRPr="00445235">
        <w:rPr>
          <w:sz w:val="20"/>
          <w:szCs w:val="20"/>
          <w:lang w:val="en-US"/>
        </w:rPr>
        <w:t xml:space="preserve"> PDX models were derived from the same patient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  <w:r w:rsidRPr="00445235">
        <w:rPr>
          <w:b/>
          <w:noProof/>
          <w:lang w:val="en-US"/>
        </w:rPr>
        <w:t>Suppl. Table 3:Sensitivity of the PDX towards targeted drugs.</w:t>
      </w:r>
      <w:r w:rsidRPr="00445235">
        <w:rPr>
          <w:noProof/>
          <w:lang w:val="en-US"/>
        </w:rPr>
        <w:t xml:space="preserve"> The table summarizes the </w:t>
      </w:r>
      <w:r w:rsidRPr="00445235">
        <w:rPr>
          <w:noProof/>
          <w:lang w:val="en-US"/>
        </w:rPr>
        <w:lastRenderedPageBreak/>
        <w:t>chemosensitivity data by tumor response scores basd on the optimal treated to control values (optT/C): (-) negative, optT/C value 50-100%; (+), optT/C value 25-50%; (++), optT/C value 10-25%; (+++), optT/C value 5-10%; (++++), optT/C value 0-5%.</w:t>
      </w:r>
    </w:p>
    <w:tbl>
      <w:tblPr>
        <w:tblStyle w:val="MediumList2"/>
        <w:tblpPr w:leftFromText="142" w:rightFromText="142" w:vertAnchor="text" w:horzAnchor="margin" w:tblpY="368"/>
        <w:tblW w:w="8752" w:type="dxa"/>
        <w:tblLayout w:type="fixed"/>
        <w:tblLook w:val="0400"/>
      </w:tblPr>
      <w:tblGrid>
        <w:gridCol w:w="1216"/>
        <w:gridCol w:w="832"/>
        <w:gridCol w:w="722"/>
        <w:gridCol w:w="722"/>
        <w:gridCol w:w="236"/>
        <w:gridCol w:w="832"/>
        <w:gridCol w:w="722"/>
        <w:gridCol w:w="722"/>
        <w:gridCol w:w="236"/>
        <w:gridCol w:w="832"/>
        <w:gridCol w:w="722"/>
        <w:gridCol w:w="722"/>
        <w:gridCol w:w="236"/>
      </w:tblGrid>
      <w:tr w:rsidR="003D39A9" w:rsidRPr="00445235" w:rsidTr="008F5546">
        <w:trPr>
          <w:cnfStyle w:val="000000100000"/>
          <w:trHeight w:val="244"/>
        </w:trPr>
        <w:tc>
          <w:tcPr>
            <w:tcW w:w="121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5235">
              <w:rPr>
                <w:rFonts w:ascii="Arial" w:hAnsi="Arial" w:cs="Arial"/>
                <w:b/>
                <w:bCs/>
                <w:sz w:val="28"/>
                <w:szCs w:val="28"/>
              </w:rPr>
              <w:t>PDX</w:t>
            </w:r>
          </w:p>
        </w:tc>
        <w:tc>
          <w:tcPr>
            <w:tcW w:w="2276" w:type="dxa"/>
            <w:gridSpan w:val="3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Bevacizumab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276" w:type="dxa"/>
            <w:gridSpan w:val="3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Cetuximab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2276" w:type="dxa"/>
            <w:gridSpan w:val="3"/>
            <w:tcBorders>
              <w:top w:val="single" w:sz="12" w:space="0" w:color="auto"/>
              <w:bottom w:val="single" w:sz="12" w:space="0" w:color="000000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Erlotinib</w:t>
            </w:r>
          </w:p>
        </w:tc>
        <w:tc>
          <w:tcPr>
            <w:tcW w:w="236" w:type="dxa"/>
            <w:tcBorders>
              <w:top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51D0F" w:rsidRPr="00445235" w:rsidTr="008F5546">
        <w:trPr>
          <w:trHeight w:val="244"/>
        </w:trPr>
        <w:tc>
          <w:tcPr>
            <w:tcW w:w="1216" w:type="dxa"/>
            <w:vMerge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opt T/C</w:t>
            </w:r>
          </w:p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[%]</w:t>
            </w:r>
          </w:p>
        </w:tc>
        <w:tc>
          <w:tcPr>
            <w:tcW w:w="72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score</w:t>
            </w:r>
          </w:p>
        </w:tc>
        <w:tc>
          <w:tcPr>
            <w:tcW w:w="72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7"/>
                <w:szCs w:val="17"/>
                <w:lang w:val="en-GB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  <w:lang w:val="en-GB"/>
              </w:rPr>
              <w:t>RTV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opt T/C</w:t>
            </w:r>
          </w:p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[%]</w:t>
            </w:r>
          </w:p>
        </w:tc>
        <w:tc>
          <w:tcPr>
            <w:tcW w:w="72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score</w:t>
            </w:r>
          </w:p>
        </w:tc>
        <w:tc>
          <w:tcPr>
            <w:tcW w:w="72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7"/>
                <w:szCs w:val="17"/>
                <w:lang w:val="en-GB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  <w:lang w:val="en-GB"/>
              </w:rPr>
              <w:t>RTV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opt T/C</w:t>
            </w:r>
          </w:p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[%]</w:t>
            </w:r>
          </w:p>
        </w:tc>
        <w:tc>
          <w:tcPr>
            <w:tcW w:w="72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score</w:t>
            </w:r>
          </w:p>
        </w:tc>
        <w:tc>
          <w:tcPr>
            <w:tcW w:w="722" w:type="dxa"/>
            <w:tcBorders>
              <w:top w:val="single" w:sz="12" w:space="0" w:color="000000"/>
              <w:bottom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sz w:val="17"/>
                <w:szCs w:val="17"/>
                <w:lang w:val="en-GB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  <w:lang w:val="en-GB"/>
              </w:rPr>
              <w:t>RTV</w:t>
            </w:r>
          </w:p>
        </w:tc>
        <w:tc>
          <w:tcPr>
            <w:tcW w:w="236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top w:val="single" w:sz="12" w:space="0" w:color="auto"/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5676</w:t>
            </w:r>
          </w:p>
        </w:tc>
        <w:tc>
          <w:tcPr>
            <w:tcW w:w="83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48.8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4.1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0.57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++++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0.12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53.1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4.7</w:t>
            </w:r>
          </w:p>
        </w:tc>
        <w:tc>
          <w:tcPr>
            <w:tcW w:w="236" w:type="dxa"/>
            <w:tcBorders>
              <w:top w:val="single" w:sz="12" w:space="0" w:color="auto"/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5677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79.2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96.9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103.8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5679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44.8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38.6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151.2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8.7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5682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21.5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0.9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45.2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78.1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3.7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5734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33.8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1.4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29.6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5735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22.5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3.0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39.9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3.8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5736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107.3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92.4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51.4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5771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14.7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25.5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36.6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5776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30.1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3.3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72.3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7.1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72.2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6.7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5841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23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44.2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27.4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5854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38.9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73.7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16.8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7.2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5896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39.6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44.3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92.9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7.3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6044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75.5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6.4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102.4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81.6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5.7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6228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27.8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74.4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12.7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7271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45.7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56.1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7475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38.5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97.1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5.5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7515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40.4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2.9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20.5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42.2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4.3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7523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57.8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20.8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73.7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5.7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7553A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36.9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26.9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2.4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7553B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36.5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36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7567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72.5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94.5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141.4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3.3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7596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31.2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29.2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7660</w:t>
            </w:r>
            <w:r w:rsidRPr="00445235">
              <w:rPr>
                <w:rFonts w:ascii="Arial" w:hAnsi="Arial" w:cs="Arial"/>
                <w:b/>
                <w:bCs/>
                <w:sz w:val="17"/>
                <w:szCs w:val="17"/>
                <w:vertAlign w:val="superscript"/>
              </w:rPr>
              <w:t>1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26.9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28.8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76.9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1.7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7689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63.7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58.2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73.4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3.5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7809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11.7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60.3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8.4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85.3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10.9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7818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37.9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36.4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38.9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7835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24.5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2.9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44.4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6.4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45.5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7888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59.5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29.1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63.9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3.4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7935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67.4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21.1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0.9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9587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65.9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75.4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42.7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9634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41.9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64.1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72.6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8.2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9689A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33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14.5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0.8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51.9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2.9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9689B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2.3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0.9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32.7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2.7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9729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109.7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103.9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119.6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9775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25.1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49.7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(+)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3.3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47.5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3.7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9946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50.2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57.2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72.3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9978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20.2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9.2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14.7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18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9997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55.8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3.3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42.2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52.8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10158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42.1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40.2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6.1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10194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64.2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0.6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33.5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10300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71.3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2.3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65.8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2.8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Co10302A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100.7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190.4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9.5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88.5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4.2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Co10302B</w:t>
            </w:r>
            <w:r w:rsidRPr="00445235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108.8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2.3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87.7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3.7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53.4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2.2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10377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44.3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8.5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69.3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13.6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106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23.3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10383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16.3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1.9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15.9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2.1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60.5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8.4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bottom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10588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100.2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6.9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171.8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10.7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206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14.8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10764</w:t>
            </w: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38.1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39.5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2.8</w:t>
            </w:r>
          </w:p>
        </w:tc>
        <w:tc>
          <w:tcPr>
            <w:tcW w:w="236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51.6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722" w:type="dxa"/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3.6</w:t>
            </w:r>
          </w:p>
        </w:tc>
        <w:tc>
          <w:tcPr>
            <w:tcW w:w="236" w:type="dxa"/>
            <w:tcBorders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trHeight w:hRule="exact" w:val="213"/>
        </w:trPr>
        <w:tc>
          <w:tcPr>
            <w:tcW w:w="1216" w:type="dxa"/>
            <w:tcBorders>
              <w:top w:val="nil"/>
              <w:left w:val="single" w:sz="12" w:space="0" w:color="000000"/>
              <w:bottom w:val="nil"/>
            </w:tcBorders>
            <w:shd w:val="clear" w:color="auto" w:fill="D9D9D9" w:themeFill="background1" w:themeFillShade="D9"/>
            <w:vAlign w:val="center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10925</w:t>
            </w: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21.9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1.1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6.8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0.4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32.2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top w:val="nil"/>
              <w:bottom w:val="nil"/>
            </w:tcBorders>
            <w:shd w:val="clear" w:color="auto" w:fill="DBE5F1" w:themeFill="accent1" w:themeFillTint="33"/>
            <w:vAlign w:val="center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1.5</w:t>
            </w:r>
          </w:p>
        </w:tc>
        <w:tc>
          <w:tcPr>
            <w:tcW w:w="236" w:type="dxa"/>
            <w:tcBorders>
              <w:top w:val="nil"/>
              <w:bottom w:val="nil"/>
              <w:right w:val="single" w:sz="12" w:space="0" w:color="000000"/>
            </w:tcBorders>
            <w:shd w:val="clear" w:color="auto" w:fill="DBE5F1" w:themeFill="accent1" w:themeFillTint="33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39A9" w:rsidRPr="00445235" w:rsidTr="008F5546">
        <w:trPr>
          <w:cnfStyle w:val="000000100000"/>
          <w:trHeight w:hRule="exact" w:val="213"/>
        </w:trPr>
        <w:tc>
          <w:tcPr>
            <w:tcW w:w="1216" w:type="dxa"/>
            <w:tcBorders>
              <w:left w:val="single" w:sz="12" w:space="0" w:color="000000"/>
              <w:bottom w:val="double" w:sz="4" w:space="0" w:color="auto"/>
            </w:tcBorders>
            <w:shd w:val="clear" w:color="auto" w:fill="D9D9D9" w:themeFill="background1" w:themeFillShade="D9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45235">
              <w:rPr>
                <w:rFonts w:ascii="Arial" w:hAnsi="Arial" w:cs="Arial"/>
                <w:b/>
                <w:bCs/>
                <w:sz w:val="17"/>
                <w:szCs w:val="17"/>
              </w:rPr>
              <w:t>Co 11061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33.6</w:t>
            </w:r>
          </w:p>
        </w:tc>
        <w:tc>
          <w:tcPr>
            <w:tcW w:w="72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3.1</w:t>
            </w:r>
          </w:p>
        </w:tc>
        <w:tc>
          <w:tcPr>
            <w:tcW w:w="236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15.2</w:t>
            </w:r>
          </w:p>
        </w:tc>
        <w:tc>
          <w:tcPr>
            <w:tcW w:w="72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+++</w:t>
            </w:r>
          </w:p>
        </w:tc>
        <w:tc>
          <w:tcPr>
            <w:tcW w:w="72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1.6</w:t>
            </w:r>
          </w:p>
        </w:tc>
        <w:tc>
          <w:tcPr>
            <w:tcW w:w="236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83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22.9</w:t>
            </w:r>
          </w:p>
        </w:tc>
        <w:tc>
          <w:tcPr>
            <w:tcW w:w="72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++</w:t>
            </w:r>
          </w:p>
        </w:tc>
        <w:tc>
          <w:tcPr>
            <w:tcW w:w="722" w:type="dxa"/>
            <w:tcBorders>
              <w:bottom w:val="double" w:sz="4" w:space="0" w:color="auto"/>
            </w:tcBorders>
            <w:shd w:val="clear" w:color="auto" w:fill="auto"/>
          </w:tcPr>
          <w:p w:rsidR="003D39A9" w:rsidRPr="00445235" w:rsidRDefault="003D39A9" w:rsidP="008F55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45235">
              <w:rPr>
                <w:rFonts w:ascii="Arial" w:hAnsi="Arial" w:cs="Arial"/>
                <w:sz w:val="17"/>
                <w:szCs w:val="17"/>
              </w:rPr>
              <w:t>2.3</w:t>
            </w:r>
          </w:p>
        </w:tc>
        <w:tc>
          <w:tcPr>
            <w:tcW w:w="236" w:type="dxa"/>
            <w:tcBorders>
              <w:bottom w:val="double" w:sz="4" w:space="0" w:color="auto"/>
              <w:right w:val="single" w:sz="12" w:space="0" w:color="000000"/>
            </w:tcBorders>
            <w:shd w:val="clear" w:color="auto" w:fill="auto"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  <w:r w:rsidRPr="00445235">
        <w:rPr>
          <w:sz w:val="20"/>
          <w:szCs w:val="20"/>
          <w:vertAlign w:val="superscript"/>
          <w:lang w:val="en-US"/>
        </w:rPr>
        <w:t>1 -5</w:t>
      </w:r>
      <w:r w:rsidRPr="00445235">
        <w:rPr>
          <w:sz w:val="20"/>
          <w:szCs w:val="20"/>
          <w:lang w:val="en-US"/>
        </w:rPr>
        <w:t xml:space="preserve"> PDX models were derived from the same patient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  <w:r w:rsidRPr="00445235">
        <w:rPr>
          <w:b/>
          <w:noProof/>
          <w:lang w:val="en-US"/>
        </w:rPr>
        <w:t>Suppl. Table 4: Gene copy number (GCN) of all PDX.</w:t>
      </w:r>
      <w:r w:rsidRPr="00445235">
        <w:rPr>
          <w:noProof/>
          <w:lang w:val="en-US"/>
        </w:rPr>
        <w:t xml:space="preserve"> The GCN was determined by real-time </w:t>
      </w:r>
      <w:r w:rsidRPr="00445235">
        <w:rPr>
          <w:noProof/>
          <w:lang w:val="en-US"/>
        </w:rPr>
        <w:lastRenderedPageBreak/>
        <w:t>PCR.</w:t>
      </w:r>
    </w:p>
    <w:tbl>
      <w:tblPr>
        <w:tblStyle w:val="LightShading"/>
        <w:tblpPr w:leftFromText="180" w:rightFromText="180" w:vertAnchor="text" w:horzAnchor="margin" w:tblpY="5"/>
        <w:tblW w:w="4845" w:type="dxa"/>
        <w:tblLook w:val="04A0"/>
      </w:tblPr>
      <w:tblGrid>
        <w:gridCol w:w="1100"/>
        <w:gridCol w:w="1225"/>
        <w:gridCol w:w="1272"/>
        <w:gridCol w:w="1248"/>
      </w:tblGrid>
      <w:tr w:rsidR="003D39A9" w:rsidRPr="00445235" w:rsidTr="008F5546">
        <w:trPr>
          <w:cnfStyle w:val="100000000000"/>
          <w:trHeight w:val="227"/>
        </w:trPr>
        <w:tc>
          <w:tcPr>
            <w:cnfStyle w:val="001000000000"/>
            <w:tcW w:w="1100" w:type="dxa"/>
            <w:vMerge w:val="restart"/>
            <w:tcBorders>
              <w:top w:val="single" w:sz="12" w:space="0" w:color="auto"/>
              <w:left w:val="single" w:sz="12" w:space="0" w:color="auto"/>
              <w:bottom w:val="double" w:sz="4" w:space="0" w:color="auto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5235">
              <w:rPr>
                <w:rFonts w:ascii="Arial" w:hAnsi="Arial" w:cs="Arial"/>
                <w:sz w:val="28"/>
                <w:szCs w:val="28"/>
              </w:rPr>
              <w:t>PDX</w:t>
            </w:r>
          </w:p>
        </w:tc>
        <w:tc>
          <w:tcPr>
            <w:tcW w:w="3745" w:type="dxa"/>
            <w:gridSpan w:val="3"/>
            <w:tcBorders>
              <w:top w:val="single" w:sz="12" w:space="0" w:color="auto"/>
              <w:bottom w:val="single" w:sz="12" w:space="0" w:color="000000" w:themeColor="text1"/>
              <w:right w:val="single" w:sz="12" w:space="0" w:color="auto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jc w:val="center"/>
              <w:cnfStyle w:val="100000000000"/>
              <w:rPr>
                <w:rFonts w:ascii="Arial" w:hAnsi="Arial" w:cs="Arial"/>
                <w:sz w:val="22"/>
                <w:szCs w:val="22"/>
              </w:rPr>
            </w:pPr>
            <w:r w:rsidRPr="00445235">
              <w:rPr>
                <w:rFonts w:ascii="Arial" w:hAnsi="Arial" w:cs="Arial"/>
                <w:sz w:val="22"/>
                <w:szCs w:val="22"/>
              </w:rPr>
              <w:t>Gene copy number</w:t>
            </w:r>
          </w:p>
        </w:tc>
      </w:tr>
      <w:tr w:rsidR="003D39A9" w:rsidRPr="00445235" w:rsidTr="008F5546">
        <w:trPr>
          <w:cnfStyle w:val="000000100000"/>
          <w:trHeight w:val="227"/>
        </w:trPr>
        <w:tc>
          <w:tcPr>
            <w:cnfStyle w:val="001000000000"/>
            <w:tcW w:w="1100" w:type="dxa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b/>
                <w:sz w:val="22"/>
                <w:szCs w:val="22"/>
              </w:rPr>
            </w:pPr>
            <w:r w:rsidRPr="00445235">
              <w:rPr>
                <w:rFonts w:ascii="Arial" w:hAnsi="Arial" w:cs="Arial"/>
                <w:b/>
                <w:sz w:val="22"/>
                <w:szCs w:val="22"/>
              </w:rPr>
              <w:t>BRAF</w:t>
            </w:r>
          </w:p>
        </w:tc>
        <w:tc>
          <w:tcPr>
            <w:tcW w:w="1272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b/>
                <w:sz w:val="22"/>
                <w:szCs w:val="22"/>
              </w:rPr>
            </w:pPr>
            <w:r w:rsidRPr="00445235">
              <w:rPr>
                <w:rFonts w:ascii="Arial" w:hAnsi="Arial" w:cs="Arial"/>
                <w:b/>
                <w:sz w:val="22"/>
                <w:szCs w:val="22"/>
              </w:rPr>
              <w:t>EGFR</w:t>
            </w:r>
          </w:p>
        </w:tc>
        <w:tc>
          <w:tcPr>
            <w:tcW w:w="1248" w:type="dxa"/>
            <w:tcBorders>
              <w:top w:val="single" w:sz="12" w:space="0" w:color="000000" w:themeColor="text1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b/>
                <w:sz w:val="22"/>
                <w:szCs w:val="22"/>
              </w:rPr>
            </w:pPr>
            <w:r w:rsidRPr="00445235">
              <w:rPr>
                <w:rFonts w:ascii="Arial" w:hAnsi="Arial" w:cs="Arial"/>
                <w:b/>
                <w:sz w:val="22"/>
                <w:szCs w:val="22"/>
              </w:rPr>
              <w:t>KRAS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single" w:sz="12" w:space="0" w:color="auto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5676</w:t>
            </w:r>
          </w:p>
        </w:tc>
        <w:tc>
          <w:tcPr>
            <w:tcW w:w="1225" w:type="dxa"/>
            <w:tcBorders>
              <w:top w:val="single" w:sz="12" w:space="0" w:color="auto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single" w:sz="12" w:space="0" w:color="auto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12" w:space="0" w:color="auto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5677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5679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5682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5734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5735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5736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5771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5776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5841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5854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5896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6044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6228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7271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7475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7515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7523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7553A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2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7553B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2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7567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7596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7660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7689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7809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7818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7835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7888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7935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9587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9634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9689A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9689B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9729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9775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9946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9978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9997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4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10158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10194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10300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Co10302A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Co10302B</w:t>
            </w:r>
            <w:r w:rsidRPr="00445235">
              <w:rPr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10377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10383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10588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10764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D39A9" w:rsidRPr="00445235" w:rsidTr="008F5546">
        <w:trPr>
          <w:cnfStyle w:val="000000100000"/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10925</w:t>
            </w:r>
          </w:p>
        </w:tc>
        <w:tc>
          <w:tcPr>
            <w:tcW w:w="1225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bottom w:val="nil"/>
              <w:right w:val="single" w:sz="12" w:space="0" w:color="auto"/>
            </w:tcBorders>
            <w:shd w:val="clear" w:color="auto" w:fill="DBE5F1" w:themeFill="accent1" w:themeFillTint="33"/>
            <w:noWrap/>
            <w:hideMark/>
          </w:tcPr>
          <w:p w:rsidR="003D39A9" w:rsidRPr="00445235" w:rsidRDefault="003D39A9" w:rsidP="008F5546">
            <w:pPr>
              <w:jc w:val="center"/>
              <w:cnfStyle w:val="0000001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3D39A9" w:rsidRPr="00445235" w:rsidTr="008F5546">
        <w:trPr>
          <w:trHeight w:hRule="exact" w:val="227"/>
        </w:trPr>
        <w:tc>
          <w:tcPr>
            <w:cnfStyle w:val="001000000000"/>
            <w:tcW w:w="1100" w:type="dxa"/>
            <w:tcBorders>
              <w:top w:val="nil"/>
              <w:left w:val="single" w:sz="12" w:space="0" w:color="000000" w:themeColor="text1"/>
              <w:bottom w:val="double" w:sz="4" w:space="0" w:color="auto"/>
              <w:right w:val="nil"/>
            </w:tcBorders>
            <w:shd w:val="clear" w:color="auto" w:fill="D9D9D9" w:themeFill="background1" w:themeFillShade="D9"/>
            <w:noWrap/>
            <w:hideMark/>
          </w:tcPr>
          <w:p w:rsidR="003D39A9" w:rsidRPr="00445235" w:rsidRDefault="003D39A9" w:rsidP="008F5546">
            <w:pPr>
              <w:keepNext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 w:val="0"/>
                <w:bCs w:val="0"/>
                <w:color w:val="000000"/>
                <w:sz w:val="17"/>
                <w:szCs w:val="17"/>
              </w:rPr>
            </w:pPr>
            <w:r w:rsidRPr="00445235">
              <w:rPr>
                <w:rFonts w:ascii="Arial" w:hAnsi="Arial" w:cs="Arial"/>
                <w:color w:val="000000"/>
                <w:sz w:val="17"/>
                <w:szCs w:val="17"/>
              </w:rPr>
              <w:t>Co 11061</w:t>
            </w:r>
          </w:p>
        </w:tc>
        <w:tc>
          <w:tcPr>
            <w:tcW w:w="1225" w:type="dxa"/>
            <w:tcBorders>
              <w:top w:val="nil"/>
              <w:left w:val="nil"/>
              <w:bottom w:val="double" w:sz="4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72" w:type="dxa"/>
            <w:tcBorders>
              <w:top w:val="nil"/>
              <w:bottom w:val="double" w:sz="4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8" w:type="dxa"/>
            <w:tcBorders>
              <w:top w:val="nil"/>
              <w:bottom w:val="double" w:sz="4" w:space="0" w:color="auto"/>
              <w:right w:val="single" w:sz="12" w:space="0" w:color="auto"/>
            </w:tcBorders>
            <w:noWrap/>
            <w:hideMark/>
          </w:tcPr>
          <w:p w:rsidR="003D39A9" w:rsidRPr="00445235" w:rsidRDefault="003D39A9" w:rsidP="008F5546">
            <w:pPr>
              <w:jc w:val="center"/>
              <w:cnfStyle w:val="000000000000"/>
              <w:rPr>
                <w:rFonts w:ascii="Arial" w:hAnsi="Arial" w:cs="Arial"/>
                <w:sz w:val="18"/>
                <w:szCs w:val="18"/>
              </w:rPr>
            </w:pPr>
            <w:r w:rsidRPr="00445235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</w:tbl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spacing w:line="240" w:lineRule="auto"/>
        <w:rPr>
          <w:sz w:val="20"/>
          <w:szCs w:val="20"/>
          <w:lang w:val="en-US"/>
        </w:rPr>
      </w:pPr>
      <w:r w:rsidRPr="00445235">
        <w:rPr>
          <w:sz w:val="20"/>
          <w:szCs w:val="20"/>
          <w:vertAlign w:val="superscript"/>
          <w:lang w:val="en-US"/>
        </w:rPr>
        <w:t>1 -5</w:t>
      </w:r>
      <w:r w:rsidRPr="00445235">
        <w:rPr>
          <w:sz w:val="20"/>
          <w:szCs w:val="20"/>
          <w:lang w:val="en-US"/>
        </w:rPr>
        <w:t xml:space="preserve"> PDX models were derived from the same patient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  <w:r w:rsidRPr="00445235">
        <w:rPr>
          <w:b/>
          <w:noProof/>
          <w:lang w:val="en-US"/>
        </w:rPr>
        <w:lastRenderedPageBreak/>
        <w:t>Suppl. Table 5: Comparison of gene copy numbers (GCN) in cetuximab resistant PDX.</w:t>
      </w:r>
      <w:r w:rsidRPr="00445235">
        <w:rPr>
          <w:noProof/>
          <w:lang w:val="en-US"/>
        </w:rPr>
        <w:t xml:space="preserve"> GCN of BRAF, EGFR and KRAS was compared in Co7596_orig vs. Co5796_cetux and in Co10718_orig vs. Co10718_cetux. The GCN were determined by real-time PCR analysis using samples of PDX of same in vivo passage numbers to ensure best comparability.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tbl>
      <w:tblPr>
        <w:tblpPr w:leftFromText="141" w:rightFromText="141" w:vertAnchor="page" w:horzAnchor="margin" w:tblpY="3148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1418"/>
        <w:gridCol w:w="1418"/>
        <w:gridCol w:w="1418"/>
        <w:gridCol w:w="1265"/>
      </w:tblGrid>
      <w:tr w:rsidR="003D39A9" w:rsidRPr="00445235" w:rsidTr="008F5546">
        <w:trPr>
          <w:trHeight w:val="255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4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8"/>
                <w:szCs w:val="16"/>
              </w:rPr>
              <w:t xml:space="preserve">Gene copy number </w:t>
            </w:r>
          </w:p>
        </w:tc>
      </w:tr>
      <w:tr w:rsidR="003D39A9" w:rsidRPr="00445235" w:rsidTr="008F5546">
        <w:trPr>
          <w:trHeight w:val="255"/>
        </w:trPr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BRAF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EGFR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KRAS</w:t>
            </w:r>
          </w:p>
        </w:tc>
      </w:tr>
      <w:tr w:rsidR="003D39A9" w:rsidRPr="00445235" w:rsidTr="008F5546">
        <w:trPr>
          <w:trHeight w:val="255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Co 7596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21.25±4.24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4.00±0.00</w:t>
            </w:r>
          </w:p>
        </w:tc>
        <w:tc>
          <w:tcPr>
            <w:tcW w:w="12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2.00±0.00</w:t>
            </w:r>
          </w:p>
        </w:tc>
      </w:tr>
      <w:tr w:rsidR="003D39A9" w:rsidRPr="00445235" w:rsidTr="008F5546">
        <w:trPr>
          <w:trHeight w:val="255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Co 7596_cetux</w:t>
            </w:r>
          </w:p>
        </w:tc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9.42±2.90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5.00±1.41</w:t>
            </w:r>
          </w:p>
        </w:tc>
        <w:tc>
          <w:tcPr>
            <w:tcW w:w="1265" w:type="dxa"/>
            <w:tcBorders>
              <w:top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2.00±0.00</w:t>
            </w:r>
          </w:p>
        </w:tc>
      </w:tr>
      <w:tr w:rsidR="003D39A9" w:rsidRPr="00445235" w:rsidTr="008F5546">
        <w:trPr>
          <w:trHeight w:val="255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BRAF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EGFR</w:t>
            </w:r>
          </w:p>
        </w:tc>
        <w:tc>
          <w:tcPr>
            <w:tcW w:w="12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KRAS</w:t>
            </w:r>
          </w:p>
        </w:tc>
      </w:tr>
      <w:tr w:rsidR="003D39A9" w:rsidRPr="00445235" w:rsidTr="008F5546">
        <w:trPr>
          <w:trHeight w:val="255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Co 10718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3.05±0.69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shd w:val="clear" w:color="auto" w:fill="auto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4.67±1.15</w:t>
            </w:r>
          </w:p>
        </w:tc>
        <w:tc>
          <w:tcPr>
            <w:tcW w:w="126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2.00±0.00</w:t>
            </w:r>
          </w:p>
        </w:tc>
      </w:tr>
      <w:tr w:rsidR="003D39A9" w:rsidRPr="00445235" w:rsidTr="008F5546">
        <w:trPr>
          <w:trHeight w:val="255"/>
        </w:trPr>
        <w:tc>
          <w:tcPr>
            <w:tcW w:w="141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45235">
              <w:rPr>
                <w:rFonts w:ascii="Arial" w:hAnsi="Arial" w:cs="Arial"/>
                <w:b/>
                <w:sz w:val="16"/>
                <w:szCs w:val="16"/>
              </w:rPr>
              <w:t>Co 10718_cetux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2.35±0.42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shd w:val="clear" w:color="auto" w:fill="auto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4.40±0.89</w:t>
            </w:r>
          </w:p>
        </w:tc>
        <w:tc>
          <w:tcPr>
            <w:tcW w:w="126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85" w:type="dxa"/>
            </w:tcMar>
            <w:vAlign w:val="bottom"/>
          </w:tcPr>
          <w:p w:rsidR="003D39A9" w:rsidRPr="00445235" w:rsidRDefault="003D39A9" w:rsidP="008F554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235">
              <w:rPr>
                <w:rFonts w:ascii="Arial" w:hAnsi="Arial" w:cs="Arial"/>
                <w:sz w:val="16"/>
                <w:szCs w:val="16"/>
              </w:rPr>
              <w:t>2.00±0.00</w:t>
            </w:r>
          </w:p>
        </w:tc>
      </w:tr>
    </w:tbl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2A721D" w:rsidRDefault="003D39A9" w:rsidP="003D39A9">
      <w:pPr>
        <w:rPr>
          <w:noProof/>
          <w:lang w:val="en-US"/>
        </w:rPr>
      </w:pPr>
      <w:r w:rsidRPr="00051D0F">
        <w:rPr>
          <w:b/>
          <w:noProof/>
          <w:lang w:val="en-US"/>
        </w:rPr>
        <w:t>Supplementary Table 6:</w:t>
      </w:r>
      <w:r w:rsidRPr="00051D0F">
        <w:rPr>
          <w:noProof/>
          <w:lang w:val="en-US"/>
        </w:rPr>
        <w:t xml:space="preserve"> TMT labelling scheme of all samples used in this study.</w:t>
      </w:r>
    </w:p>
    <w:tbl>
      <w:tblPr>
        <w:tblStyle w:val="TableGrid"/>
        <w:tblW w:w="0" w:type="auto"/>
        <w:tblLook w:val="04A0"/>
      </w:tblPr>
      <w:tblGrid>
        <w:gridCol w:w="1166"/>
        <w:gridCol w:w="2552"/>
      </w:tblGrid>
      <w:tr w:rsidR="003D39A9" w:rsidTr="008F5546">
        <w:tc>
          <w:tcPr>
            <w:tcW w:w="1166" w:type="dxa"/>
            <w:shd w:val="clear" w:color="auto" w:fill="D9D9D9" w:themeFill="background1" w:themeFillShade="D9"/>
          </w:tcPr>
          <w:p w:rsidR="003D39A9" w:rsidRPr="00036BCF" w:rsidRDefault="003D39A9" w:rsidP="008F5546">
            <w:pPr>
              <w:rPr>
                <w:b/>
                <w:sz w:val="21"/>
              </w:rPr>
            </w:pPr>
            <w:r w:rsidRPr="00036BCF">
              <w:rPr>
                <w:b/>
                <w:sz w:val="21"/>
              </w:rPr>
              <w:t>Channels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3D39A9" w:rsidRPr="00036BCF" w:rsidRDefault="003D39A9" w:rsidP="008F5546">
            <w:pPr>
              <w:rPr>
                <w:b/>
                <w:sz w:val="21"/>
              </w:rPr>
            </w:pPr>
            <w:r w:rsidRPr="00036BCF">
              <w:rPr>
                <w:b/>
                <w:sz w:val="21"/>
              </w:rPr>
              <w:t>Randomized samples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Empty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127N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Co7596_orig Replicate 2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127C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Co10718_cetux Replicate 2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128N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Co7596_cetux Replicate 1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128C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Co10718_orig Replicate 1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129N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Co7596_cetux Replicate 2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129C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Co10718_orig Replicate 2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130N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Co7596_orig Replicate 1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130C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Co10718_cetux Replicate 1</w:t>
            </w:r>
          </w:p>
        </w:tc>
      </w:tr>
      <w:tr w:rsidR="003D39A9" w:rsidTr="008F5546">
        <w:tc>
          <w:tcPr>
            <w:tcW w:w="1166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2552" w:type="dxa"/>
          </w:tcPr>
          <w:p w:rsidR="003D39A9" w:rsidRDefault="003D39A9" w:rsidP="008F5546">
            <w:pPr>
              <w:rPr>
                <w:sz w:val="20"/>
              </w:rPr>
            </w:pPr>
            <w:r>
              <w:rPr>
                <w:sz w:val="20"/>
              </w:rPr>
              <w:t>Pooled internal standard</w:t>
            </w:r>
          </w:p>
        </w:tc>
      </w:tr>
    </w:tbl>
    <w:p w:rsidR="003D39A9" w:rsidRDefault="003D39A9" w:rsidP="003D39A9">
      <w:pPr>
        <w:rPr>
          <w:rFonts w:ascii="Calibri" w:hAnsi="Calibri"/>
          <w:color w:val="000000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  <w:r w:rsidRPr="00445235">
        <w:rPr>
          <w:b/>
          <w:noProof/>
          <w:lang w:val="en-US"/>
        </w:rPr>
        <w:t>Supplementary Figures</w:t>
      </w: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b/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  <w:r>
        <w:rPr>
          <w:noProof/>
          <w:color w:val="4F81BD" w:themeColor="accent1"/>
          <w:sz w:val="20"/>
          <w:lang w:val="en-US" w:eastAsia="en-US"/>
        </w:rPr>
        <w:drawing>
          <wp:inline distT="0" distB="0" distL="0" distR="0">
            <wp:extent cx="2552281" cy="54292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veraProteomicsWorkflow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755" r="33185" b="4150"/>
                    <a:stretch/>
                  </pic:blipFill>
                  <pic:spPr bwMode="auto">
                    <a:xfrm>
                      <a:off x="0" y="0"/>
                      <a:ext cx="2579996" cy="548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39A9" w:rsidRPr="002A721D" w:rsidRDefault="003D39A9" w:rsidP="003D39A9">
      <w:pPr>
        <w:rPr>
          <w:noProof/>
          <w:lang w:val="en-US"/>
        </w:rPr>
      </w:pPr>
      <w:r w:rsidRPr="00051D0F">
        <w:rPr>
          <w:b/>
          <w:noProof/>
          <w:lang w:val="en-US"/>
        </w:rPr>
        <w:t>Supplementary Figure 1:</w:t>
      </w:r>
      <w:r w:rsidRPr="00051D0F">
        <w:rPr>
          <w:noProof/>
          <w:lang w:val="en-US"/>
        </w:rPr>
        <w:t xml:space="preserve"> Schematic representation of the proteomic analysis workflow.</w:t>
      </w: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rPr>
          <w:noProof/>
          <w:lang w:val="en-US"/>
        </w:rPr>
      </w:pPr>
    </w:p>
    <w:p w:rsidR="003D39A9" w:rsidRPr="00445235" w:rsidRDefault="003D39A9" w:rsidP="003D39A9">
      <w:pPr>
        <w:rPr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  <w:r>
        <w:rPr>
          <w:noProof/>
          <w:sz w:val="20"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355792</wp:posOffset>
            </wp:positionV>
            <wp:extent cx="5267960" cy="3326765"/>
            <wp:effectExtent l="0" t="0" r="889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tRes_PDX_TMT_PCA_Plot-2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6890" b="47509"/>
                    <a:stretch/>
                  </pic:blipFill>
                  <pic:spPr bwMode="auto">
                    <a:xfrm>
                      <a:off x="0" y="0"/>
                      <a:ext cx="5267960" cy="332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39A9" w:rsidRPr="006B4BD7" w:rsidRDefault="003D39A9" w:rsidP="003D39A9">
      <w:pPr>
        <w:rPr>
          <w:lang w:val="en-US"/>
        </w:rPr>
      </w:pPr>
      <w:r w:rsidRPr="00051D0F">
        <w:rPr>
          <w:b/>
          <w:lang w:val="en-US"/>
        </w:rPr>
        <w:t xml:space="preserve">Supplementary Figure 2: </w:t>
      </w:r>
      <w:r w:rsidRPr="00051D0F">
        <w:rPr>
          <w:lang w:val="en-US"/>
        </w:rPr>
        <w:t>Principal component analysis of all samples used in this study. PCA analysis is performed on subset of high variant proteins ( sd &gt; 0.5). Samples are color-coded by model name and acquired resistance status. PC1 and PC2 accounted for 31.31% and 17.3% of the contribution to the variance, respectively. Note that acquired resistance status can be explained by second highest variance</w:t>
      </w: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  <w:r w:rsidRPr="003D02E1">
        <w:rPr>
          <w:noProof/>
          <w:lang w:val="en-US" w:eastAsia="en-US"/>
        </w:rPr>
        <w:lastRenderedPageBreak/>
        <w:drawing>
          <wp:inline distT="0" distB="0" distL="0" distR="0">
            <wp:extent cx="4744443" cy="2464904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10" cy="246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9A9" w:rsidRPr="00445235" w:rsidRDefault="003D39A9" w:rsidP="003D39A9">
      <w:pPr>
        <w:rPr>
          <w:lang w:val="en-US"/>
        </w:rPr>
      </w:pPr>
      <w:r w:rsidRPr="00445235">
        <w:rPr>
          <w:b/>
          <w:lang w:val="en-US"/>
        </w:rPr>
        <w:t xml:space="preserve">Suppl. Fig </w:t>
      </w:r>
      <w:r>
        <w:rPr>
          <w:b/>
          <w:lang w:val="en-US"/>
        </w:rPr>
        <w:t>3</w:t>
      </w:r>
      <w:r w:rsidRPr="00445235">
        <w:rPr>
          <w:b/>
          <w:lang w:val="en-US"/>
        </w:rPr>
        <w:t>: Proteins and phosphosites significantly regulated in cetuximab resistant model Co10718_cetux</w:t>
      </w:r>
      <w:r w:rsidRPr="00445235">
        <w:rPr>
          <w:lang w:val="en-US"/>
        </w:rPr>
        <w:t xml:space="preserve">. </w:t>
      </w:r>
      <w:r w:rsidRPr="00445235">
        <w:rPr>
          <w:b/>
          <w:lang w:val="en-US"/>
        </w:rPr>
        <w:t>A.</w:t>
      </w:r>
      <w:r w:rsidRPr="00445235">
        <w:rPr>
          <w:lang w:val="en-US"/>
        </w:rPr>
        <w:t xml:space="preserve"> Volcano plot illustrates [-10Log10(p-value)] vs. the log fold change, with proteins outside the significance lines colored in red (adj. p-value &lt; 0.05). p values are calculated from the resistant models and their sensitive counterparts. </w:t>
      </w:r>
      <w:r w:rsidRPr="00445235">
        <w:rPr>
          <w:b/>
          <w:lang w:val="en-US"/>
        </w:rPr>
        <w:t>B.</w:t>
      </w:r>
      <w:r w:rsidRPr="00445235">
        <w:rPr>
          <w:lang w:val="en-US"/>
        </w:rPr>
        <w:t xml:space="preserve"> Volcano plot shows significantly regulated phosphosites in cetuximab resistant model Co10718_cetux.</w:t>
      </w: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</w:p>
    <w:p w:rsidR="003D39A9" w:rsidRPr="00445235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noProof/>
          <w:lang w:val="en-US"/>
        </w:rPr>
      </w:pPr>
      <w:r w:rsidRPr="003D02E1">
        <w:rPr>
          <w:noProof/>
          <w:lang w:val="en-US" w:eastAsia="en-US"/>
        </w:rPr>
        <w:lastRenderedPageBreak/>
        <w:drawing>
          <wp:inline distT="0" distB="0" distL="0" distR="0">
            <wp:extent cx="5397500" cy="7823200"/>
            <wp:effectExtent l="0" t="0" r="12700" b="0"/>
            <wp:docPr id="14" name="Bild 14" descr="Macintosh HD:Users:wowalt:Desktop:Paper Rivera 2020:Varianten P_Mertins:Supp_Fig_2_Co10718_Pathway_Enrch_Analysis_DAVID_20190816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wowalt:Desktop:Paper Rivera 2020:Varianten P_Mertins:Supp_Fig_2_Co10718_Pathway_Enrch_Analysis_DAVID_20190816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2" t="2862" r="5532" b="4366"/>
                    <a:stretch/>
                  </pic:blipFill>
                  <pic:spPr bwMode="auto">
                    <a:xfrm>
                      <a:off x="0" y="0"/>
                      <a:ext cx="539750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39A9" w:rsidRPr="00B6139D" w:rsidRDefault="003D39A9" w:rsidP="003D39A9">
      <w:pPr>
        <w:rPr>
          <w:b/>
          <w:lang w:val="en-US"/>
        </w:rPr>
      </w:pPr>
      <w:r w:rsidRPr="00445235">
        <w:rPr>
          <w:b/>
          <w:lang w:val="en-US"/>
        </w:rPr>
        <w:t xml:space="preserve">Suppl. Fig </w:t>
      </w:r>
      <w:r>
        <w:rPr>
          <w:b/>
          <w:lang w:val="en-US"/>
        </w:rPr>
        <w:t>4</w:t>
      </w:r>
      <w:r w:rsidRPr="00445235">
        <w:rPr>
          <w:b/>
          <w:lang w:val="en-US"/>
        </w:rPr>
        <w:t>: GO analysis of significantly regulated proteins and phosphosites in cetuximab resistant model Co10718_cetux</w:t>
      </w:r>
      <w:r w:rsidRPr="00445235">
        <w:rPr>
          <w:lang w:val="en-US"/>
        </w:rPr>
        <w:t xml:space="preserve">. </w:t>
      </w:r>
      <w:r w:rsidRPr="00445235">
        <w:rPr>
          <w:b/>
          <w:lang w:val="en-US"/>
        </w:rPr>
        <w:t xml:space="preserve">A. </w:t>
      </w:r>
      <w:r w:rsidRPr="00445235">
        <w:rPr>
          <w:lang w:val="en-US"/>
        </w:rPr>
        <w:t xml:space="preserve">GO terms are grouped according to KEGG pathways and </w:t>
      </w:r>
      <w:r w:rsidRPr="00445235">
        <w:rPr>
          <w:lang w:val="en-US"/>
        </w:rPr>
        <w:lastRenderedPageBreak/>
        <w:t xml:space="preserve">biological process analysis of the significantly regulated proteins in cetuximab resistant model Co10718_cetux (adj. p-value&lt;0.05) and top 20 groups are shown, if available. Red and blue colors indicate up and downregulation, respectively.  </w:t>
      </w:r>
      <w:r w:rsidRPr="00445235">
        <w:rPr>
          <w:b/>
          <w:lang w:val="en-US"/>
        </w:rPr>
        <w:t xml:space="preserve">B. </w:t>
      </w:r>
      <w:r w:rsidRPr="00445235">
        <w:rPr>
          <w:lang w:val="en-US"/>
        </w:rPr>
        <w:t>Top20 biological processes and KEGG pathways enriched in the significantly regulated phosphosites of cetuximab resistant model Co10718_cetux (adj. p-value&lt;0.05).</w:t>
      </w:r>
    </w:p>
    <w:p w:rsidR="003D39A9" w:rsidRPr="00B6139D" w:rsidRDefault="003D39A9" w:rsidP="003D39A9">
      <w:pPr>
        <w:widowControl w:val="0"/>
        <w:autoSpaceDE w:val="0"/>
        <w:autoSpaceDN w:val="0"/>
        <w:adjustRightInd w:val="0"/>
        <w:spacing w:after="120" w:line="240" w:lineRule="auto"/>
        <w:ind w:left="640" w:hanging="640"/>
        <w:rPr>
          <w:lang w:val="en-US"/>
        </w:rPr>
      </w:pPr>
    </w:p>
    <w:p w:rsidR="00FA53E1" w:rsidRDefault="00FA53E1">
      <w:bookmarkStart w:id="0" w:name="_GoBack"/>
      <w:bookmarkEnd w:id="0"/>
    </w:p>
    <w:sectPr w:rsidR="00FA53E1" w:rsidSect="00653FC6">
      <w:footerReference w:type="default" r:id="rId11"/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534" w:rsidRDefault="00BB7534" w:rsidP="00653FC6">
      <w:pPr>
        <w:spacing w:line="240" w:lineRule="auto"/>
      </w:pPr>
      <w:r>
        <w:separator/>
      </w:r>
    </w:p>
  </w:endnote>
  <w:endnote w:type="continuationSeparator" w:id="1">
    <w:p w:rsidR="00BB7534" w:rsidRDefault="00BB7534" w:rsidP="00653FC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792" w:rsidRDefault="00653FC6">
    <w:pPr>
      <w:pStyle w:val="Footer"/>
      <w:jc w:val="right"/>
    </w:pPr>
    <w:r>
      <w:fldChar w:fldCharType="begin"/>
    </w:r>
    <w:r w:rsidR="003D39A9">
      <w:instrText xml:space="preserve"> PAGE   \* MERGEFORMAT </w:instrText>
    </w:r>
    <w:r>
      <w:fldChar w:fldCharType="separate"/>
    </w:r>
    <w:r w:rsidR="00051D0F">
      <w:rPr>
        <w:noProof/>
      </w:rPr>
      <w:t>1</w:t>
    </w:r>
    <w:r>
      <w:rPr>
        <w:noProof/>
      </w:rPr>
      <w:fldChar w:fldCharType="end"/>
    </w:r>
  </w:p>
  <w:p w:rsidR="00B74792" w:rsidRDefault="00BB75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534" w:rsidRDefault="00BB7534" w:rsidP="00653FC6">
      <w:pPr>
        <w:spacing w:line="240" w:lineRule="auto"/>
      </w:pPr>
      <w:r>
        <w:separator/>
      </w:r>
    </w:p>
  </w:footnote>
  <w:footnote w:type="continuationSeparator" w:id="1">
    <w:p w:rsidR="00BB7534" w:rsidRDefault="00BB7534" w:rsidP="00653F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38C02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62D85C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17808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CF4F7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662DB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9985B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4E82D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62E2E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E2640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D9C55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6265F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90134B7"/>
    <w:multiLevelType w:val="multilevel"/>
    <w:tmpl w:val="B04AAF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Disstitel2"/>
      <w:isLgl/>
      <w:lvlText w:val="%1.%2"/>
      <w:lvlJc w:val="left"/>
      <w:pPr>
        <w:ind w:left="1353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4627B8E"/>
    <w:multiLevelType w:val="multilevel"/>
    <w:tmpl w:val="609CA75E"/>
    <w:styleLink w:val="Headingsdiss"/>
    <w:lvl w:ilvl="0">
      <w:start w:val="1"/>
      <w:numFmt w:val="decimal"/>
      <w:pStyle w:val="Heading1"/>
      <w:suff w:val="space"/>
      <w:lvlText w:val="%1."/>
      <w:lvlJc w:val="left"/>
      <w:pPr>
        <w:ind w:left="4962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Times New Roman" w:hAnsi="Times New Roman" w:hint="default"/>
        <w:b/>
        <w:i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Times New Roman" w:hAnsi="Times New Roman" w:hint="default"/>
        <w:b w:val="0"/>
        <w:i/>
        <w:sz w:val="24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3">
    <w:nsid w:val="648A3FD9"/>
    <w:multiLevelType w:val="hybridMultilevel"/>
    <w:tmpl w:val="2772AC00"/>
    <w:lvl w:ilvl="0" w:tplc="7E2A79CC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lvl w:ilvl="0">
        <w:start w:val="1"/>
        <w:numFmt w:val="decimal"/>
        <w:pStyle w:val="Heading1"/>
        <w:suff w:val="space"/>
        <w:lvlText w:val="%1."/>
        <w:lvlJc w:val="left"/>
        <w:pPr>
          <w:ind w:left="5103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snapToGrid w:val="0"/>
          <w:vanish w:val="0"/>
          <w:color w:val="000000"/>
          <w:spacing w:val="0"/>
          <w:w w:val="0"/>
          <w:kern w:val="0"/>
          <w:position w:val="0"/>
          <w:sz w:val="0"/>
          <w:szCs w:val="0"/>
          <w:u w:val="none" w:color="000000"/>
          <w:effect w:val="none"/>
          <w:bdr w:val="none" w:sz="0" w:space="0" w:color="000000"/>
          <w:shd w:val="clear" w:color="000000" w:fill="000000"/>
          <w:vertAlign w:val="baseline"/>
          <w:em w:val="none"/>
          <w:lang/>
          <w:specVanish w:val="0"/>
        </w:rPr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141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141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141" w:firstLine="0"/>
        </w:pPr>
        <w:rPr>
          <w:rFonts w:ascii="Times New Roman" w:hAnsi="Times New Roman" w:hint="default"/>
          <w:b/>
          <w:i/>
          <w:sz w:val="24"/>
        </w:rPr>
      </w:lvl>
    </w:lvlOverride>
    <w:lvlOverride w:ilvl="4">
      <w:lvl w:ilvl="4">
        <w:start w:val="1"/>
        <w:numFmt w:val="decimal"/>
        <w:suff w:val="space"/>
        <w:lvlText w:val="%1.%2.%3.%4.%5"/>
        <w:lvlJc w:val="left"/>
        <w:pPr>
          <w:ind w:left="141" w:firstLine="0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5">
      <w:lvl w:ilvl="5">
        <w:start w:val="1"/>
        <w:numFmt w:val="decimal"/>
        <w:pStyle w:val="Heading6"/>
        <w:suff w:val="space"/>
        <w:lvlText w:val="%1.%2.%3.%4.%5.%6"/>
        <w:lvlJc w:val="left"/>
        <w:pPr>
          <w:ind w:left="141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7."/>
        <w:lvlJc w:val="left"/>
        <w:pPr>
          <w:ind w:left="141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141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141" w:firstLine="0"/>
        </w:pPr>
        <w:rPr>
          <w:rFonts w:hint="default"/>
        </w:rPr>
      </w:lvl>
    </w:lvlOverride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2"/>
    <w:lvlOverride w:ilvl="0">
      <w:lvl w:ilvl="0">
        <w:numFmt w:val="decimal"/>
        <w:pStyle w:val="Heading1"/>
        <w:lvlText w:val=""/>
        <w:lvlJc w:val="left"/>
      </w:lvl>
    </w:lvlOverride>
    <w:lvlOverride w:ilvl="1">
      <w:lvl w:ilvl="1">
        <w:start w:val="1"/>
        <w:numFmt w:val="decimal"/>
        <w:pStyle w:val="Heading2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suff w:val="space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suff w:val="space"/>
        <w:lvlText w:val="%1.%2.%3.%4"/>
        <w:lvlJc w:val="left"/>
        <w:pPr>
          <w:ind w:left="0" w:firstLine="0"/>
        </w:pPr>
        <w:rPr>
          <w:rFonts w:ascii="Times New Roman" w:hAnsi="Times New Roman" w:hint="default"/>
          <w:b/>
          <w:i/>
          <w:sz w:val="24"/>
        </w:rPr>
      </w:lvl>
    </w:lvlOverride>
  </w:num>
  <w:num w:numId="17">
    <w:abstractNumId w:val="12"/>
    <w:lvlOverride w:ilvl="0">
      <w:startOverride w:val="4"/>
      <w:lvl w:ilvl="0">
        <w:start w:val="4"/>
        <w:numFmt w:val="decimal"/>
        <w:pStyle w:val="Heading1"/>
        <w:lvlText w:val=""/>
        <w:lvlJc w:val="left"/>
      </w:lvl>
    </w:lvlOverride>
    <w:lvlOverride w:ilvl="1">
      <w:startOverride w:val="2"/>
      <w:lvl w:ilvl="1">
        <w:start w:val="2"/>
        <w:numFmt w:val="decimal"/>
        <w:pStyle w:val="Heading2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</w:num>
  <w:num w:numId="18">
    <w:abstractNumId w:val="12"/>
    <w:lvlOverride w:ilvl="0">
      <w:startOverride w:val="2"/>
      <w:lvl w:ilvl="0">
        <w:start w:val="2"/>
        <w:numFmt w:val="decimal"/>
        <w:pStyle w:val="Heading1"/>
        <w:lvlText w:val=""/>
        <w:lvlJc w:val="left"/>
      </w:lvl>
    </w:lvlOverride>
    <w:lvlOverride w:ilvl="1">
      <w:startOverride w:val="11"/>
      <w:lvl w:ilvl="1">
        <w:start w:val="11"/>
        <w:numFmt w:val="decimal"/>
        <w:pStyle w:val="Heading2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</w:num>
  <w:num w:numId="19">
    <w:abstractNumId w:val="12"/>
    <w:lvlOverride w:ilvl="0">
      <w:startOverride w:val="2"/>
      <w:lvl w:ilvl="0">
        <w:start w:val="2"/>
        <w:numFmt w:val="decimal"/>
        <w:pStyle w:val="Heading1"/>
        <w:lvlText w:val=""/>
        <w:lvlJc w:val="left"/>
      </w:lvl>
    </w:lvlOverride>
    <w:lvlOverride w:ilvl="1">
      <w:startOverride w:val="11"/>
      <w:lvl w:ilvl="1">
        <w:start w:val="11"/>
        <w:numFmt w:val="decimal"/>
        <w:pStyle w:val="Heading2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39A9"/>
    <w:rsid w:val="00051D0F"/>
    <w:rsid w:val="003D39A9"/>
    <w:rsid w:val="00653FC6"/>
    <w:rsid w:val="00BB7534"/>
    <w:rsid w:val="00FA5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0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29" w:unhideWhenUsed="0" w:qFormat="1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66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9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Heading1">
    <w:name w:val="heading 1"/>
    <w:next w:val="Normal"/>
    <w:link w:val="Heading1Char"/>
    <w:qFormat/>
    <w:rsid w:val="003D39A9"/>
    <w:pPr>
      <w:keepNext/>
      <w:numPr>
        <w:numId w:val="1"/>
      </w:numPr>
      <w:spacing w:before="240" w:after="180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de-DE" w:eastAsia="de-DE"/>
    </w:rPr>
  </w:style>
  <w:style w:type="paragraph" w:styleId="Heading2">
    <w:name w:val="heading 2"/>
    <w:basedOn w:val="Heading1"/>
    <w:next w:val="Normal"/>
    <w:link w:val="Heading2Char"/>
    <w:qFormat/>
    <w:rsid w:val="003D39A9"/>
    <w:pPr>
      <w:numPr>
        <w:ilvl w:val="1"/>
      </w:numPr>
      <w:ind w:left="0"/>
      <w:outlineLvl w:val="1"/>
    </w:pPr>
    <w:rPr>
      <w:bCs w:val="0"/>
      <w:iCs/>
      <w:sz w:val="24"/>
      <w:szCs w:val="28"/>
    </w:rPr>
  </w:style>
  <w:style w:type="paragraph" w:styleId="Heading3">
    <w:name w:val="heading 3"/>
    <w:basedOn w:val="Heading2"/>
    <w:next w:val="Normal"/>
    <w:link w:val="Heading3Char"/>
    <w:autoRedefine/>
    <w:qFormat/>
    <w:rsid w:val="003D39A9"/>
    <w:pPr>
      <w:numPr>
        <w:ilvl w:val="0"/>
        <w:numId w:val="0"/>
      </w:numPr>
      <w:spacing w:line="360" w:lineRule="auto"/>
      <w:outlineLvl w:val="2"/>
    </w:pPr>
    <w:rPr>
      <w:bCs/>
      <w:szCs w:val="26"/>
      <w:lang w:val="en-GB"/>
    </w:rPr>
  </w:style>
  <w:style w:type="paragraph" w:styleId="Heading4">
    <w:name w:val="heading 4"/>
    <w:basedOn w:val="Heading3"/>
    <w:next w:val="Normal"/>
    <w:link w:val="Heading4Char"/>
    <w:qFormat/>
    <w:rsid w:val="003D39A9"/>
    <w:pPr>
      <w:numPr>
        <w:ilvl w:val="3"/>
      </w:numPr>
      <w:outlineLvl w:val="3"/>
    </w:pPr>
    <w:rPr>
      <w:b w:val="0"/>
      <w:bCs w:val="0"/>
      <w:szCs w:val="28"/>
      <w:lang w:eastAsia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3D39A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qFormat/>
    <w:rsid w:val="003D39A9"/>
    <w:pPr>
      <w:numPr>
        <w:ilvl w:val="5"/>
        <w:numId w:val="1"/>
      </w:numPr>
      <w:spacing w:before="240" w:after="60"/>
      <w:ind w:left="0"/>
      <w:outlineLvl w:val="5"/>
    </w:pPr>
    <w:rPr>
      <w:rFonts w:ascii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39A9"/>
    <w:rPr>
      <w:rFonts w:ascii="Times New Roman" w:eastAsia="Times New Roman" w:hAnsi="Times New Roman" w:cs="Times New Roman"/>
      <w:b/>
      <w:bCs/>
      <w:kern w:val="32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3D39A9"/>
    <w:rPr>
      <w:rFonts w:ascii="Times New Roman" w:eastAsia="Times New Roman" w:hAnsi="Times New Roman" w:cs="Times New Roman"/>
      <w:b/>
      <w:iCs/>
      <w:kern w:val="32"/>
      <w:sz w:val="24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rsid w:val="003D39A9"/>
    <w:rPr>
      <w:rFonts w:ascii="Times New Roman" w:eastAsia="Times New Roman" w:hAnsi="Times New Roman" w:cs="Times New Roman"/>
      <w:b/>
      <w:bCs/>
      <w:iCs/>
      <w:kern w:val="32"/>
      <w:sz w:val="24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3D39A9"/>
    <w:rPr>
      <w:rFonts w:ascii="Times New Roman" w:eastAsia="Times New Roman" w:hAnsi="Times New Roman" w:cs="Times New Roman"/>
      <w:iCs/>
      <w:kern w:val="32"/>
      <w:sz w:val="24"/>
      <w:szCs w:val="28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3D39A9"/>
    <w:rPr>
      <w:rFonts w:ascii="Cambria" w:eastAsia="Times New Roman" w:hAnsi="Cambria" w:cs="Times New Roman"/>
      <w:color w:val="243F60"/>
      <w:sz w:val="24"/>
      <w:szCs w:val="24"/>
      <w:lang w:val="de-DE" w:eastAsia="de-DE"/>
    </w:rPr>
  </w:style>
  <w:style w:type="character" w:customStyle="1" w:styleId="Heading6Char">
    <w:name w:val="Heading 6 Char"/>
    <w:basedOn w:val="DefaultParagraphFont"/>
    <w:link w:val="Heading6"/>
    <w:rsid w:val="003D39A9"/>
    <w:rPr>
      <w:rFonts w:ascii="Calibri" w:eastAsia="Times New Roman" w:hAnsi="Calibri" w:cs="Times New Roman"/>
      <w:b/>
      <w:bCs/>
      <w:sz w:val="20"/>
      <w:szCs w:val="20"/>
      <w:lang w:val="de-DE" w:eastAsia="de-DE"/>
    </w:rPr>
  </w:style>
  <w:style w:type="numbering" w:customStyle="1" w:styleId="Headingsdiss">
    <w:name w:val="Headings_diss"/>
    <w:rsid w:val="003D39A9"/>
    <w:pPr>
      <w:numPr>
        <w:numId w:val="2"/>
      </w:numPr>
    </w:pPr>
  </w:style>
  <w:style w:type="paragraph" w:styleId="Caption">
    <w:name w:val="caption"/>
    <w:basedOn w:val="Normal"/>
    <w:next w:val="Normal"/>
    <w:qFormat/>
    <w:rsid w:val="003D39A9"/>
    <w:pPr>
      <w:framePr w:w="11" w:wrap="around" w:vAnchor="text" w:hAnchor="margin" w:y="1"/>
      <w:spacing w:line="240" w:lineRule="auto"/>
    </w:pPr>
    <w:rPr>
      <w:bCs/>
      <w:sz w:val="22"/>
    </w:rPr>
  </w:style>
  <w:style w:type="character" w:styleId="Strong">
    <w:name w:val="Strong"/>
    <w:uiPriority w:val="22"/>
    <w:qFormat/>
    <w:rsid w:val="003D39A9"/>
    <w:rPr>
      <w:b/>
      <w:bCs/>
    </w:rPr>
  </w:style>
  <w:style w:type="paragraph" w:styleId="NormalWeb">
    <w:name w:val="Normal (Web)"/>
    <w:basedOn w:val="Normal"/>
    <w:uiPriority w:val="99"/>
    <w:unhideWhenUsed/>
    <w:rsid w:val="003D39A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9A9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9A9"/>
    <w:rPr>
      <w:rFonts w:ascii="Tahoma" w:eastAsia="Times New Roman" w:hAnsi="Tahoma" w:cs="Times New Roman"/>
      <w:sz w:val="16"/>
      <w:szCs w:val="16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rsid w:val="003D39A9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9A9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3D39A9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9A9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Disstitel2">
    <w:name w:val="Diss_titel_2"/>
    <w:basedOn w:val="Normal"/>
    <w:qFormat/>
    <w:rsid w:val="003D39A9"/>
    <w:pPr>
      <w:numPr>
        <w:ilvl w:val="1"/>
        <w:numId w:val="3"/>
      </w:numPr>
    </w:pPr>
    <w:rPr>
      <w:b/>
      <w:sz w:val="28"/>
      <w:szCs w:val="28"/>
      <w:lang w:val="en-GB"/>
    </w:rPr>
  </w:style>
  <w:style w:type="character" w:styleId="CommentReference">
    <w:name w:val="annotation reference"/>
    <w:uiPriority w:val="99"/>
    <w:semiHidden/>
    <w:unhideWhenUsed/>
    <w:rsid w:val="003D39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9A9"/>
    <w:rPr>
      <w:lang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9A9"/>
    <w:rPr>
      <w:rFonts w:ascii="Times New Roman" w:eastAsia="Times New Roman" w:hAnsi="Times New Roman" w:cs="Times New Roman"/>
      <w:sz w:val="24"/>
      <w:szCs w:val="24"/>
      <w:lang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9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9A9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Revision">
    <w:name w:val="Revision"/>
    <w:hidden/>
    <w:uiPriority w:val="71"/>
    <w:rsid w:val="003D3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ColorfulGrid">
    <w:name w:val="Colorful Grid"/>
    <w:basedOn w:val="TableNormal"/>
    <w:uiPriority w:val="29"/>
    <w:qFormat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1">
    <w:name w:val="Medium List 1"/>
    <w:basedOn w:val="TableNormal"/>
    <w:uiPriority w:val="60"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3D39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olorfulShading-Accent5">
    <w:name w:val="Colorful Shading Accent 5"/>
    <w:basedOn w:val="TableNormal"/>
    <w:uiPriority w:val="66"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Shading">
    <w:name w:val="Light Shading"/>
    <w:basedOn w:val="TableNormal"/>
    <w:uiPriority w:val="60"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id-label">
    <w:name w:val="id-label"/>
    <w:basedOn w:val="DefaultParagraphFont"/>
    <w:rsid w:val="003D39A9"/>
  </w:style>
  <w:style w:type="table" w:styleId="TableGrid">
    <w:name w:val="Table Grid"/>
    <w:basedOn w:val="TableNormal"/>
    <w:uiPriority w:val="39"/>
    <w:rsid w:val="003D39A9"/>
    <w:pPr>
      <w:spacing w:after="0" w:line="240" w:lineRule="auto"/>
    </w:pPr>
    <w:rPr>
      <w:sz w:val="24"/>
      <w:szCs w:val="24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0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29" w:unhideWhenUsed="0" w:qFormat="1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66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9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Heading1">
    <w:name w:val="heading 1"/>
    <w:next w:val="Normal"/>
    <w:link w:val="Heading1Char"/>
    <w:qFormat/>
    <w:rsid w:val="003D39A9"/>
    <w:pPr>
      <w:keepNext/>
      <w:numPr>
        <w:numId w:val="1"/>
      </w:numPr>
      <w:spacing w:before="240" w:after="180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  <w:lang w:val="de-DE" w:eastAsia="de-DE"/>
    </w:rPr>
  </w:style>
  <w:style w:type="paragraph" w:styleId="Heading2">
    <w:name w:val="heading 2"/>
    <w:basedOn w:val="Heading1"/>
    <w:next w:val="Normal"/>
    <w:link w:val="Heading2Char"/>
    <w:qFormat/>
    <w:rsid w:val="003D39A9"/>
    <w:pPr>
      <w:numPr>
        <w:ilvl w:val="1"/>
      </w:numPr>
      <w:ind w:left="0"/>
      <w:outlineLvl w:val="1"/>
    </w:pPr>
    <w:rPr>
      <w:bCs w:val="0"/>
      <w:iCs/>
      <w:sz w:val="24"/>
      <w:szCs w:val="28"/>
    </w:rPr>
  </w:style>
  <w:style w:type="paragraph" w:styleId="Heading3">
    <w:name w:val="heading 3"/>
    <w:basedOn w:val="Heading2"/>
    <w:next w:val="Normal"/>
    <w:link w:val="Heading3Char"/>
    <w:autoRedefine/>
    <w:qFormat/>
    <w:rsid w:val="003D39A9"/>
    <w:pPr>
      <w:numPr>
        <w:ilvl w:val="0"/>
        <w:numId w:val="0"/>
      </w:numPr>
      <w:spacing w:line="360" w:lineRule="auto"/>
      <w:outlineLvl w:val="2"/>
    </w:pPr>
    <w:rPr>
      <w:bCs/>
      <w:szCs w:val="26"/>
      <w:lang w:val="en-GB" w:eastAsia="x-none"/>
    </w:rPr>
  </w:style>
  <w:style w:type="paragraph" w:styleId="Heading4">
    <w:name w:val="heading 4"/>
    <w:basedOn w:val="Heading3"/>
    <w:next w:val="Normal"/>
    <w:link w:val="Heading4Char"/>
    <w:qFormat/>
    <w:rsid w:val="003D39A9"/>
    <w:pPr>
      <w:numPr>
        <w:ilvl w:val="3"/>
      </w:numPr>
      <w:outlineLvl w:val="3"/>
    </w:pPr>
    <w:rPr>
      <w:b w:val="0"/>
      <w:bCs w:val="0"/>
      <w:szCs w:val="28"/>
      <w:lang w:eastAsia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3D39A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qFormat/>
    <w:rsid w:val="003D39A9"/>
    <w:pPr>
      <w:numPr>
        <w:ilvl w:val="5"/>
        <w:numId w:val="1"/>
      </w:numPr>
      <w:spacing w:before="240" w:after="60"/>
      <w:ind w:left="0"/>
      <w:outlineLvl w:val="5"/>
    </w:pPr>
    <w:rPr>
      <w:rFonts w:ascii="Calibri" w:hAnsi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D39A9"/>
    <w:rPr>
      <w:rFonts w:ascii="Times New Roman" w:eastAsia="Times New Roman" w:hAnsi="Times New Roman" w:cs="Times New Roman"/>
      <w:b/>
      <w:bCs/>
      <w:kern w:val="32"/>
      <w:sz w:val="32"/>
      <w:szCs w:val="32"/>
      <w:lang w:val="de-DE" w:eastAsia="de-DE"/>
    </w:rPr>
  </w:style>
  <w:style w:type="character" w:customStyle="1" w:styleId="Heading2Char">
    <w:name w:val="Heading 2 Char"/>
    <w:basedOn w:val="DefaultParagraphFont"/>
    <w:link w:val="Heading2"/>
    <w:rsid w:val="003D39A9"/>
    <w:rPr>
      <w:rFonts w:ascii="Times New Roman" w:eastAsia="Times New Roman" w:hAnsi="Times New Roman" w:cs="Times New Roman"/>
      <w:b/>
      <w:iCs/>
      <w:kern w:val="32"/>
      <w:sz w:val="24"/>
      <w:szCs w:val="28"/>
      <w:lang w:val="de-DE" w:eastAsia="de-DE"/>
    </w:rPr>
  </w:style>
  <w:style w:type="character" w:customStyle="1" w:styleId="Heading3Char">
    <w:name w:val="Heading 3 Char"/>
    <w:basedOn w:val="DefaultParagraphFont"/>
    <w:link w:val="Heading3"/>
    <w:rsid w:val="003D39A9"/>
    <w:rPr>
      <w:rFonts w:ascii="Times New Roman" w:eastAsia="Times New Roman" w:hAnsi="Times New Roman" w:cs="Times New Roman"/>
      <w:b/>
      <w:bCs/>
      <w:iCs/>
      <w:kern w:val="32"/>
      <w:sz w:val="24"/>
      <w:szCs w:val="26"/>
      <w:lang w:val="en-GB" w:eastAsia="x-none"/>
    </w:rPr>
  </w:style>
  <w:style w:type="character" w:customStyle="1" w:styleId="Heading4Char">
    <w:name w:val="Heading 4 Char"/>
    <w:basedOn w:val="DefaultParagraphFont"/>
    <w:link w:val="Heading4"/>
    <w:rsid w:val="003D39A9"/>
    <w:rPr>
      <w:rFonts w:ascii="Times New Roman" w:eastAsia="Times New Roman" w:hAnsi="Times New Roman" w:cs="Times New Roman"/>
      <w:iCs/>
      <w:kern w:val="32"/>
      <w:sz w:val="24"/>
      <w:szCs w:val="28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3D39A9"/>
    <w:rPr>
      <w:rFonts w:ascii="Cambria" w:eastAsia="Times New Roman" w:hAnsi="Cambria" w:cs="Times New Roman"/>
      <w:color w:val="243F60"/>
      <w:sz w:val="24"/>
      <w:szCs w:val="24"/>
      <w:lang w:val="de-DE" w:eastAsia="de-DE"/>
    </w:rPr>
  </w:style>
  <w:style w:type="character" w:customStyle="1" w:styleId="Heading6Char">
    <w:name w:val="Heading 6 Char"/>
    <w:basedOn w:val="DefaultParagraphFont"/>
    <w:link w:val="Heading6"/>
    <w:rsid w:val="003D39A9"/>
    <w:rPr>
      <w:rFonts w:ascii="Calibri" w:eastAsia="Times New Roman" w:hAnsi="Calibri" w:cs="Times New Roman"/>
      <w:b/>
      <w:bCs/>
      <w:sz w:val="20"/>
      <w:szCs w:val="20"/>
      <w:lang w:val="de-DE" w:eastAsia="de-DE"/>
    </w:rPr>
  </w:style>
  <w:style w:type="numbering" w:customStyle="1" w:styleId="Headingsdiss">
    <w:name w:val="Headings_diss"/>
    <w:rsid w:val="003D39A9"/>
    <w:pPr>
      <w:numPr>
        <w:numId w:val="1"/>
      </w:numPr>
    </w:pPr>
  </w:style>
  <w:style w:type="paragraph" w:styleId="Caption">
    <w:name w:val="caption"/>
    <w:basedOn w:val="Normal"/>
    <w:next w:val="Normal"/>
    <w:qFormat/>
    <w:rsid w:val="003D39A9"/>
    <w:pPr>
      <w:framePr w:w="11" w:wrap="around" w:vAnchor="text" w:hAnchor="margin" w:y="1"/>
      <w:spacing w:line="240" w:lineRule="auto"/>
    </w:pPr>
    <w:rPr>
      <w:bCs/>
      <w:sz w:val="22"/>
    </w:rPr>
  </w:style>
  <w:style w:type="character" w:styleId="Strong">
    <w:name w:val="Strong"/>
    <w:uiPriority w:val="22"/>
    <w:qFormat/>
    <w:rsid w:val="003D39A9"/>
    <w:rPr>
      <w:b/>
      <w:bCs/>
    </w:rPr>
  </w:style>
  <w:style w:type="paragraph" w:styleId="NormalWeb">
    <w:name w:val="Normal (Web)"/>
    <w:basedOn w:val="Normal"/>
    <w:uiPriority w:val="99"/>
    <w:unhideWhenUsed/>
    <w:rsid w:val="003D39A9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9A9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9A9"/>
    <w:rPr>
      <w:rFonts w:ascii="Tahoma" w:eastAsia="Times New Roman" w:hAnsi="Tahoma" w:cs="Times New Roman"/>
      <w:sz w:val="16"/>
      <w:szCs w:val="16"/>
      <w:lang w:val="de-DE" w:eastAsia="de-DE"/>
    </w:rPr>
  </w:style>
  <w:style w:type="paragraph" w:styleId="Header">
    <w:name w:val="header"/>
    <w:basedOn w:val="Normal"/>
    <w:link w:val="HeaderChar"/>
    <w:uiPriority w:val="99"/>
    <w:unhideWhenUsed/>
    <w:rsid w:val="003D39A9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9A9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3D39A9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9A9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Disstitel2">
    <w:name w:val="Diss_titel_2"/>
    <w:basedOn w:val="Normal"/>
    <w:qFormat/>
    <w:rsid w:val="003D39A9"/>
    <w:pPr>
      <w:numPr>
        <w:ilvl w:val="1"/>
        <w:numId w:val="3"/>
      </w:numPr>
    </w:pPr>
    <w:rPr>
      <w:b/>
      <w:sz w:val="28"/>
      <w:szCs w:val="28"/>
      <w:lang w:val="en-GB"/>
    </w:rPr>
  </w:style>
  <w:style w:type="character" w:styleId="CommentReference">
    <w:name w:val="annotation reference"/>
    <w:uiPriority w:val="99"/>
    <w:semiHidden/>
    <w:unhideWhenUsed/>
    <w:rsid w:val="003D39A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9A9"/>
    <w:rPr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9A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9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9A9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Revision">
    <w:name w:val="Revision"/>
    <w:hidden/>
    <w:uiPriority w:val="71"/>
    <w:rsid w:val="003D3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table" w:styleId="ColorfulGrid">
    <w:name w:val="Colorful Grid"/>
    <w:basedOn w:val="TableNormal"/>
    <w:uiPriority w:val="29"/>
    <w:qFormat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List1">
    <w:name w:val="Medium List 1"/>
    <w:basedOn w:val="TableNormal"/>
    <w:uiPriority w:val="60"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2">
    <w:name w:val="Medium List 2"/>
    <w:basedOn w:val="TableNormal"/>
    <w:uiPriority w:val="66"/>
    <w:rsid w:val="003D39A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olorfulShading-Accent5">
    <w:name w:val="Colorful Shading Accent 5"/>
    <w:basedOn w:val="TableNormal"/>
    <w:uiPriority w:val="66"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Shading">
    <w:name w:val="Light Shading"/>
    <w:basedOn w:val="TableNormal"/>
    <w:uiPriority w:val="60"/>
    <w:rsid w:val="003D39A9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val="de-DE" w:eastAsia="de-DE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id-label">
    <w:name w:val="id-label"/>
    <w:basedOn w:val="DefaultParagraphFont"/>
    <w:rsid w:val="003D39A9"/>
  </w:style>
  <w:style w:type="table" w:styleId="TableGrid">
    <w:name w:val="Table Grid"/>
    <w:basedOn w:val="TableNormal"/>
    <w:uiPriority w:val="39"/>
    <w:rsid w:val="003D39A9"/>
    <w:pPr>
      <w:spacing w:after="0" w:line="240" w:lineRule="auto"/>
    </w:pPr>
    <w:rPr>
      <w:sz w:val="24"/>
      <w:szCs w:val="24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1728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Pawan Kumar Singh</dc:creator>
  <cp:lastModifiedBy>ali</cp:lastModifiedBy>
  <cp:revision>2</cp:revision>
  <dcterms:created xsi:type="dcterms:W3CDTF">2020-11-05T12:13:00Z</dcterms:created>
  <dcterms:modified xsi:type="dcterms:W3CDTF">2020-11-15T09:08:00Z</dcterms:modified>
</cp:coreProperties>
</file>