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49E" w:rsidRPr="00521E46" w:rsidRDefault="0005049E" w:rsidP="0005049E">
      <w:pPr>
        <w:rPr>
          <w:rFonts w:ascii="Arial" w:hAnsi="Arial" w:cs="Arial"/>
          <w:b/>
          <w:color w:val="000000" w:themeColor="text1"/>
          <w:lang w:val="en-US"/>
        </w:rPr>
      </w:pPr>
      <w:r w:rsidRPr="00521E46">
        <w:rPr>
          <w:rFonts w:ascii="Arial" w:hAnsi="Arial" w:cs="Arial"/>
          <w:b/>
          <w:color w:val="000000" w:themeColor="text1"/>
          <w:lang w:val="en-US"/>
        </w:rPr>
        <w:t>Supplemental Figure 1:</w:t>
      </w:r>
      <w:r w:rsidRPr="00521E46">
        <w:rPr>
          <w:rFonts w:ascii="Arial" w:hAnsi="Arial" w:cs="Arial"/>
          <w:color w:val="000000" w:themeColor="text1"/>
          <w:lang w:val="en-US"/>
        </w:rPr>
        <w:t xml:space="preserve"> </w:t>
      </w:r>
      <w:r w:rsidRPr="00521E46">
        <w:rPr>
          <w:rFonts w:ascii="Arial" w:hAnsi="Arial" w:cs="Arial"/>
          <w:b/>
          <w:color w:val="000000" w:themeColor="text1"/>
          <w:lang w:val="en-US"/>
        </w:rPr>
        <w:t>LD structure of MIR330.</w:t>
      </w:r>
    </w:p>
    <w:p w:rsidR="0005049E" w:rsidRPr="00521E46" w:rsidRDefault="0005049E" w:rsidP="0005049E">
      <w:pPr>
        <w:rPr>
          <w:rFonts w:ascii="Arial" w:hAnsi="Arial" w:cs="Arial"/>
          <w:b/>
          <w:color w:val="000000" w:themeColor="text1"/>
          <w:lang w:val="en-US"/>
        </w:rPr>
      </w:pPr>
    </w:p>
    <w:p w:rsidR="0005049E" w:rsidRPr="00521E46" w:rsidRDefault="0005049E" w:rsidP="0005049E">
      <w:pPr>
        <w:rPr>
          <w:rFonts w:ascii="Arial" w:hAnsi="Arial" w:cs="Arial"/>
          <w:b/>
          <w:color w:val="000000" w:themeColor="text1"/>
          <w:lang w:val="en-US"/>
        </w:rPr>
      </w:pPr>
      <w:r w:rsidRPr="00521E46">
        <w:rPr>
          <w:rFonts w:ascii="Arial" w:hAnsi="Arial" w:cs="Arial"/>
          <w:b/>
          <w:noProof/>
          <w:color w:val="000000" w:themeColor="text1"/>
        </w:rPr>
        <w:drawing>
          <wp:inline distT="0" distB="0" distL="0" distR="0" wp14:anchorId="5D30F0BA" wp14:editId="398FE5AA">
            <wp:extent cx="1515600" cy="252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D_MIR330.png"/>
                    <pic:cNvPicPr/>
                  </pic:nvPicPr>
                  <pic:blipFill>
                    <a:blip r:embed="rId4">
                      <a:extLst>
                        <a:ext uri="{28A0092B-C50C-407E-A947-70E740481C1C}">
                          <a14:useLocalDpi xmlns:a14="http://schemas.microsoft.com/office/drawing/2010/main" val="0"/>
                        </a:ext>
                      </a:extLst>
                    </a:blip>
                    <a:stretch>
                      <a:fillRect/>
                    </a:stretch>
                  </pic:blipFill>
                  <pic:spPr>
                    <a:xfrm>
                      <a:off x="0" y="0"/>
                      <a:ext cx="1515600" cy="2520000"/>
                    </a:xfrm>
                    <a:prstGeom prst="rect">
                      <a:avLst/>
                    </a:prstGeom>
                  </pic:spPr>
                </pic:pic>
              </a:graphicData>
            </a:graphic>
          </wp:inline>
        </w:drawing>
      </w:r>
    </w:p>
    <w:p w:rsidR="0005049E" w:rsidRPr="00521E46" w:rsidRDefault="0005049E" w:rsidP="0005049E">
      <w:pPr>
        <w:rPr>
          <w:rFonts w:ascii="Arial" w:hAnsi="Arial" w:cs="Arial"/>
          <w:b/>
          <w:color w:val="000000" w:themeColor="text1"/>
          <w:lang w:val="en-US"/>
        </w:rPr>
      </w:pPr>
    </w:p>
    <w:p w:rsidR="0005049E" w:rsidRPr="00521E46" w:rsidRDefault="0005049E" w:rsidP="0005049E">
      <w:pPr>
        <w:rPr>
          <w:rFonts w:ascii="Arial" w:hAnsi="Arial" w:cs="Arial"/>
          <w:b/>
          <w:color w:val="000000" w:themeColor="text1"/>
          <w:lang w:val="en-US"/>
        </w:rPr>
      </w:pPr>
    </w:p>
    <w:p w:rsidR="0005049E" w:rsidRPr="00521E46" w:rsidRDefault="0005049E" w:rsidP="0005049E">
      <w:pPr>
        <w:rPr>
          <w:rFonts w:ascii="Arial" w:hAnsi="Arial" w:cs="Arial"/>
          <w:b/>
          <w:color w:val="000000" w:themeColor="text1"/>
          <w:lang w:val="en-US"/>
        </w:rPr>
      </w:pPr>
    </w:p>
    <w:p w:rsidR="0005049E" w:rsidRPr="00521E46" w:rsidRDefault="0005049E" w:rsidP="0005049E">
      <w:pPr>
        <w:rPr>
          <w:rFonts w:ascii="Arial" w:hAnsi="Arial" w:cs="Arial"/>
          <w:b/>
          <w:color w:val="000000" w:themeColor="text1"/>
          <w:lang w:val="en-US"/>
        </w:rPr>
      </w:pPr>
      <w:r w:rsidRPr="00521E46">
        <w:rPr>
          <w:rFonts w:ascii="Arial" w:hAnsi="Arial" w:cs="Arial"/>
          <w:b/>
          <w:color w:val="000000" w:themeColor="text1"/>
          <w:lang w:val="en-US"/>
        </w:rPr>
        <w:t>Supplemental Figure 2:</w:t>
      </w:r>
      <w:r w:rsidRPr="00521E46">
        <w:rPr>
          <w:rFonts w:ascii="Arial" w:hAnsi="Arial" w:cs="Arial"/>
          <w:color w:val="000000" w:themeColor="text1"/>
          <w:lang w:val="en-US"/>
        </w:rPr>
        <w:t xml:space="preserve"> </w:t>
      </w:r>
      <w:r w:rsidRPr="00521E46">
        <w:rPr>
          <w:rFonts w:ascii="Arial" w:hAnsi="Arial" w:cs="Arial"/>
          <w:b/>
          <w:color w:val="000000" w:themeColor="text1"/>
          <w:lang w:val="en-US"/>
        </w:rPr>
        <w:t>LD structure of MIR378G.</w:t>
      </w:r>
    </w:p>
    <w:p w:rsidR="0005049E" w:rsidRPr="00521E46" w:rsidRDefault="0005049E" w:rsidP="0005049E">
      <w:pPr>
        <w:rPr>
          <w:rFonts w:ascii="Arial" w:hAnsi="Arial" w:cs="Arial"/>
          <w:b/>
          <w:color w:val="000000" w:themeColor="text1"/>
          <w:lang w:val="en-US"/>
        </w:rPr>
      </w:pPr>
    </w:p>
    <w:p w:rsidR="0005049E" w:rsidRPr="00521E46" w:rsidRDefault="0005049E" w:rsidP="0005049E">
      <w:pPr>
        <w:rPr>
          <w:color w:val="000000" w:themeColor="text1"/>
          <w:lang w:val="en-US"/>
        </w:rPr>
      </w:pPr>
      <w:r w:rsidRPr="00521E46">
        <w:rPr>
          <w:noProof/>
          <w:color w:val="000000" w:themeColor="text1"/>
        </w:rPr>
        <w:drawing>
          <wp:inline distT="0" distB="0" distL="0" distR="0" wp14:anchorId="606A7948" wp14:editId="6FBBA6C8">
            <wp:extent cx="2484000" cy="3020400"/>
            <wp:effectExtent l="0" t="0" r="5715"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D_MIR378G.png"/>
                    <pic:cNvPicPr/>
                  </pic:nvPicPr>
                  <pic:blipFill>
                    <a:blip r:embed="rId5">
                      <a:extLst>
                        <a:ext uri="{28A0092B-C50C-407E-A947-70E740481C1C}">
                          <a14:useLocalDpi xmlns:a14="http://schemas.microsoft.com/office/drawing/2010/main" val="0"/>
                        </a:ext>
                      </a:extLst>
                    </a:blip>
                    <a:stretch>
                      <a:fillRect/>
                    </a:stretch>
                  </pic:blipFill>
                  <pic:spPr>
                    <a:xfrm>
                      <a:off x="0" y="0"/>
                      <a:ext cx="2484000" cy="3020400"/>
                    </a:xfrm>
                    <a:prstGeom prst="rect">
                      <a:avLst/>
                    </a:prstGeom>
                  </pic:spPr>
                </pic:pic>
              </a:graphicData>
            </a:graphic>
          </wp:inline>
        </w:drawing>
      </w:r>
    </w:p>
    <w:p w:rsidR="0005049E" w:rsidRPr="00521E46" w:rsidRDefault="0005049E" w:rsidP="0005049E">
      <w:pPr>
        <w:rPr>
          <w:rFonts w:ascii="Arial" w:hAnsi="Arial" w:cs="Arial"/>
          <w:b/>
          <w:color w:val="000000" w:themeColor="text1"/>
          <w:lang w:val="en-US"/>
        </w:rPr>
      </w:pPr>
    </w:p>
    <w:p w:rsidR="0005049E" w:rsidRPr="00521E46" w:rsidRDefault="0005049E" w:rsidP="0005049E">
      <w:pPr>
        <w:rPr>
          <w:rFonts w:ascii="Arial" w:hAnsi="Arial" w:cs="Arial"/>
          <w:b/>
          <w:color w:val="000000" w:themeColor="text1"/>
          <w:lang w:val="en-US"/>
        </w:rPr>
      </w:pPr>
      <w:r w:rsidRPr="00521E46">
        <w:rPr>
          <w:rFonts w:ascii="Arial" w:hAnsi="Arial" w:cs="Arial"/>
          <w:b/>
          <w:color w:val="000000" w:themeColor="text1"/>
          <w:lang w:val="en-US"/>
        </w:rPr>
        <w:br w:type="page"/>
      </w:r>
    </w:p>
    <w:p w:rsidR="0005049E" w:rsidRPr="00521E46" w:rsidRDefault="0005049E" w:rsidP="0005049E">
      <w:pPr>
        <w:rPr>
          <w:rFonts w:ascii="Arial" w:hAnsi="Arial" w:cs="Arial"/>
          <w:b/>
          <w:color w:val="000000" w:themeColor="text1"/>
          <w:lang w:val="en-US"/>
        </w:rPr>
      </w:pPr>
      <w:r w:rsidRPr="00521E46">
        <w:rPr>
          <w:rFonts w:ascii="Arial" w:hAnsi="Arial" w:cs="Arial"/>
          <w:b/>
          <w:color w:val="000000" w:themeColor="text1"/>
          <w:lang w:val="en-US"/>
        </w:rPr>
        <w:lastRenderedPageBreak/>
        <w:t>Supplemental Figure 3:</w:t>
      </w:r>
      <w:r w:rsidRPr="00521E46">
        <w:rPr>
          <w:rFonts w:ascii="Arial" w:hAnsi="Arial" w:cs="Arial"/>
          <w:color w:val="000000" w:themeColor="text1"/>
          <w:lang w:val="en-US"/>
        </w:rPr>
        <w:t xml:space="preserve"> </w:t>
      </w:r>
      <w:r w:rsidRPr="00521E46">
        <w:rPr>
          <w:rFonts w:ascii="Arial" w:hAnsi="Arial" w:cs="Arial"/>
          <w:b/>
          <w:color w:val="000000" w:themeColor="text1"/>
          <w:lang w:val="en-US"/>
        </w:rPr>
        <w:t>LD structure of MIR579.</w:t>
      </w:r>
    </w:p>
    <w:p w:rsidR="0005049E" w:rsidRPr="00521E46" w:rsidRDefault="0005049E" w:rsidP="0005049E">
      <w:pPr>
        <w:rPr>
          <w:color w:val="000000" w:themeColor="text1"/>
          <w:lang w:val="en-US"/>
        </w:rPr>
      </w:pPr>
    </w:p>
    <w:p w:rsidR="0005049E" w:rsidRPr="00521E46" w:rsidRDefault="0005049E" w:rsidP="0005049E">
      <w:pPr>
        <w:rPr>
          <w:color w:val="000000" w:themeColor="text1"/>
          <w:lang w:val="en-US"/>
        </w:rPr>
      </w:pPr>
      <w:r w:rsidRPr="00521E46">
        <w:rPr>
          <w:noProof/>
          <w:color w:val="000000" w:themeColor="text1"/>
        </w:rPr>
        <w:drawing>
          <wp:inline distT="0" distB="0" distL="0" distR="0" wp14:anchorId="0CFA2884" wp14:editId="73F10C1E">
            <wp:extent cx="1047600" cy="2228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D_MIR579.png"/>
                    <pic:cNvPicPr/>
                  </pic:nvPicPr>
                  <pic:blipFill>
                    <a:blip r:embed="rId6">
                      <a:extLst>
                        <a:ext uri="{28A0092B-C50C-407E-A947-70E740481C1C}">
                          <a14:useLocalDpi xmlns:a14="http://schemas.microsoft.com/office/drawing/2010/main" val="0"/>
                        </a:ext>
                      </a:extLst>
                    </a:blip>
                    <a:stretch>
                      <a:fillRect/>
                    </a:stretch>
                  </pic:blipFill>
                  <pic:spPr>
                    <a:xfrm>
                      <a:off x="0" y="0"/>
                      <a:ext cx="1047600" cy="2228400"/>
                    </a:xfrm>
                    <a:prstGeom prst="rect">
                      <a:avLst/>
                    </a:prstGeom>
                  </pic:spPr>
                </pic:pic>
              </a:graphicData>
            </a:graphic>
          </wp:inline>
        </w:drawing>
      </w:r>
    </w:p>
    <w:p w:rsidR="0005049E" w:rsidRPr="00521E46" w:rsidRDefault="0005049E" w:rsidP="0005049E">
      <w:pPr>
        <w:rPr>
          <w:color w:val="000000" w:themeColor="text1"/>
          <w:lang w:val="en-US"/>
        </w:rPr>
      </w:pPr>
    </w:p>
    <w:p w:rsidR="0005049E" w:rsidRPr="00521E46" w:rsidRDefault="0005049E" w:rsidP="0005049E">
      <w:pPr>
        <w:rPr>
          <w:color w:val="000000" w:themeColor="text1"/>
          <w:lang w:val="en-US"/>
        </w:rPr>
      </w:pPr>
    </w:p>
    <w:p w:rsidR="0005049E" w:rsidRPr="00521E46" w:rsidRDefault="0005049E" w:rsidP="0005049E">
      <w:pPr>
        <w:rPr>
          <w:color w:val="000000" w:themeColor="text1"/>
          <w:lang w:val="en-US"/>
        </w:rPr>
      </w:pPr>
    </w:p>
    <w:p w:rsidR="0005049E" w:rsidRPr="00521E46" w:rsidRDefault="0005049E" w:rsidP="0005049E">
      <w:pPr>
        <w:rPr>
          <w:rFonts w:ascii="Arial" w:hAnsi="Arial" w:cs="Arial"/>
          <w:b/>
          <w:color w:val="000000" w:themeColor="text1"/>
          <w:lang w:val="en-US"/>
        </w:rPr>
      </w:pPr>
      <w:r w:rsidRPr="00521E46">
        <w:rPr>
          <w:rFonts w:ascii="Arial" w:hAnsi="Arial" w:cs="Arial"/>
          <w:b/>
          <w:color w:val="000000" w:themeColor="text1"/>
          <w:lang w:val="en-US"/>
        </w:rPr>
        <w:t>Supplemental Figure 4:</w:t>
      </w:r>
      <w:r w:rsidRPr="00521E46">
        <w:rPr>
          <w:rFonts w:ascii="Arial" w:hAnsi="Arial" w:cs="Arial"/>
          <w:color w:val="000000" w:themeColor="text1"/>
          <w:lang w:val="en-US"/>
        </w:rPr>
        <w:t xml:space="preserve"> </w:t>
      </w:r>
      <w:r w:rsidRPr="00521E46">
        <w:rPr>
          <w:rFonts w:ascii="Arial" w:hAnsi="Arial" w:cs="Arial"/>
          <w:b/>
          <w:color w:val="000000" w:themeColor="text1"/>
          <w:lang w:val="en-US"/>
        </w:rPr>
        <w:t>LD structure of MIR3622A and MIR3622B.</w:t>
      </w:r>
    </w:p>
    <w:p w:rsidR="0005049E" w:rsidRPr="00521E46" w:rsidRDefault="0005049E" w:rsidP="0005049E">
      <w:pPr>
        <w:rPr>
          <w:rFonts w:ascii="Arial" w:hAnsi="Arial" w:cs="Arial"/>
          <w:b/>
          <w:color w:val="000000" w:themeColor="text1"/>
          <w:lang w:val="en-US"/>
        </w:rPr>
      </w:pPr>
    </w:p>
    <w:p w:rsidR="0005049E" w:rsidRPr="00521E46" w:rsidRDefault="0005049E" w:rsidP="0005049E">
      <w:pPr>
        <w:rPr>
          <w:color w:val="000000" w:themeColor="text1"/>
          <w:lang w:val="en-US"/>
        </w:rPr>
      </w:pPr>
      <w:r w:rsidRPr="00521E46">
        <w:rPr>
          <w:noProof/>
          <w:color w:val="000000" w:themeColor="text1"/>
        </w:rPr>
        <w:drawing>
          <wp:inline distT="0" distB="0" distL="0" distR="0" wp14:anchorId="016AD5A3" wp14:editId="7A926FB4">
            <wp:extent cx="2480400" cy="3013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D_MIR3622A_B.png"/>
                    <pic:cNvPicPr/>
                  </pic:nvPicPr>
                  <pic:blipFill>
                    <a:blip r:embed="rId7">
                      <a:extLst>
                        <a:ext uri="{28A0092B-C50C-407E-A947-70E740481C1C}">
                          <a14:useLocalDpi xmlns:a14="http://schemas.microsoft.com/office/drawing/2010/main" val="0"/>
                        </a:ext>
                      </a:extLst>
                    </a:blip>
                    <a:stretch>
                      <a:fillRect/>
                    </a:stretch>
                  </pic:blipFill>
                  <pic:spPr>
                    <a:xfrm>
                      <a:off x="0" y="0"/>
                      <a:ext cx="2480400" cy="3013200"/>
                    </a:xfrm>
                    <a:prstGeom prst="rect">
                      <a:avLst/>
                    </a:prstGeom>
                  </pic:spPr>
                </pic:pic>
              </a:graphicData>
            </a:graphic>
          </wp:inline>
        </w:drawing>
      </w:r>
    </w:p>
    <w:p w:rsidR="0005049E" w:rsidRPr="00521E46" w:rsidRDefault="0005049E" w:rsidP="0005049E">
      <w:pPr>
        <w:rPr>
          <w:color w:val="000000" w:themeColor="text1"/>
          <w:lang w:val="en-US"/>
        </w:rPr>
      </w:pPr>
    </w:p>
    <w:p w:rsidR="0005049E" w:rsidRPr="00521E46" w:rsidRDefault="0005049E" w:rsidP="0005049E">
      <w:pPr>
        <w:rPr>
          <w:rFonts w:ascii="Arial" w:hAnsi="Arial" w:cs="Arial"/>
          <w:b/>
          <w:color w:val="000000" w:themeColor="text1"/>
          <w:lang w:val="en-US"/>
        </w:rPr>
      </w:pPr>
      <w:r w:rsidRPr="00521E46">
        <w:rPr>
          <w:rFonts w:ascii="Arial" w:hAnsi="Arial" w:cs="Arial"/>
          <w:b/>
          <w:color w:val="000000" w:themeColor="text1"/>
          <w:lang w:val="en-US"/>
        </w:rPr>
        <w:br w:type="page"/>
      </w:r>
    </w:p>
    <w:p w:rsidR="0005049E" w:rsidRPr="00521E46" w:rsidRDefault="0005049E" w:rsidP="0005049E">
      <w:pPr>
        <w:rPr>
          <w:rFonts w:ascii="Arial" w:hAnsi="Arial" w:cs="Arial"/>
          <w:b/>
          <w:color w:val="000000" w:themeColor="text1"/>
          <w:lang w:val="en-US"/>
        </w:rPr>
      </w:pPr>
      <w:r w:rsidRPr="00521E46">
        <w:rPr>
          <w:rFonts w:ascii="Arial" w:hAnsi="Arial" w:cs="Arial"/>
          <w:b/>
          <w:color w:val="000000" w:themeColor="text1"/>
          <w:lang w:val="en-US"/>
        </w:rPr>
        <w:lastRenderedPageBreak/>
        <w:t>Supplemental Figure 5:</w:t>
      </w:r>
      <w:r w:rsidRPr="00521E46">
        <w:rPr>
          <w:rFonts w:ascii="Arial" w:hAnsi="Arial" w:cs="Arial"/>
          <w:color w:val="000000" w:themeColor="text1"/>
          <w:lang w:val="en-US"/>
        </w:rPr>
        <w:t xml:space="preserve"> </w:t>
      </w:r>
      <w:r w:rsidRPr="00521E46">
        <w:rPr>
          <w:rFonts w:ascii="Arial" w:hAnsi="Arial" w:cs="Arial"/>
          <w:b/>
          <w:color w:val="000000" w:themeColor="text1"/>
          <w:lang w:val="en-US"/>
        </w:rPr>
        <w:t>LD structure of MIR4715.</w:t>
      </w:r>
    </w:p>
    <w:p w:rsidR="0005049E" w:rsidRPr="00521E46" w:rsidRDefault="0005049E" w:rsidP="0005049E">
      <w:pPr>
        <w:rPr>
          <w:rFonts w:ascii="Arial" w:hAnsi="Arial" w:cs="Arial"/>
          <w:b/>
          <w:color w:val="000000" w:themeColor="text1"/>
          <w:lang w:val="en-US"/>
        </w:rPr>
      </w:pPr>
    </w:p>
    <w:p w:rsidR="0005049E" w:rsidRPr="00521E46" w:rsidRDefault="0005049E" w:rsidP="0005049E">
      <w:pPr>
        <w:rPr>
          <w:color w:val="000000" w:themeColor="text1"/>
          <w:lang w:val="en-US"/>
        </w:rPr>
      </w:pPr>
      <w:r w:rsidRPr="00521E46">
        <w:rPr>
          <w:noProof/>
          <w:color w:val="000000" w:themeColor="text1"/>
        </w:rPr>
        <w:drawing>
          <wp:inline distT="0" distB="0" distL="0" distR="0" wp14:anchorId="5ED45403" wp14:editId="12A7D3A1">
            <wp:extent cx="1397000" cy="30607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D_MIR4715.png"/>
                    <pic:cNvPicPr/>
                  </pic:nvPicPr>
                  <pic:blipFill>
                    <a:blip r:embed="rId8">
                      <a:extLst>
                        <a:ext uri="{28A0092B-C50C-407E-A947-70E740481C1C}">
                          <a14:useLocalDpi xmlns:a14="http://schemas.microsoft.com/office/drawing/2010/main" val="0"/>
                        </a:ext>
                      </a:extLst>
                    </a:blip>
                    <a:stretch>
                      <a:fillRect/>
                    </a:stretch>
                  </pic:blipFill>
                  <pic:spPr>
                    <a:xfrm>
                      <a:off x="0" y="0"/>
                      <a:ext cx="1397000" cy="3060700"/>
                    </a:xfrm>
                    <a:prstGeom prst="rect">
                      <a:avLst/>
                    </a:prstGeom>
                  </pic:spPr>
                </pic:pic>
              </a:graphicData>
            </a:graphic>
          </wp:inline>
        </w:drawing>
      </w:r>
    </w:p>
    <w:p w:rsidR="0005049E" w:rsidRPr="00521E46" w:rsidRDefault="0005049E" w:rsidP="0005049E">
      <w:pPr>
        <w:rPr>
          <w:color w:val="000000" w:themeColor="text1"/>
          <w:lang w:val="en-US"/>
        </w:rPr>
      </w:pPr>
    </w:p>
    <w:p w:rsidR="0005049E" w:rsidRPr="00521E46" w:rsidRDefault="0005049E" w:rsidP="0005049E">
      <w:pPr>
        <w:rPr>
          <w:color w:val="000000" w:themeColor="text1"/>
          <w:lang w:val="en-US"/>
        </w:rPr>
      </w:pPr>
    </w:p>
    <w:p w:rsidR="0005049E" w:rsidRPr="00521E46" w:rsidRDefault="0005049E" w:rsidP="0005049E">
      <w:pPr>
        <w:rPr>
          <w:color w:val="000000" w:themeColor="text1"/>
          <w:lang w:val="en-US"/>
        </w:rPr>
      </w:pPr>
    </w:p>
    <w:p w:rsidR="0005049E" w:rsidRPr="00521E46" w:rsidRDefault="0005049E" w:rsidP="0005049E">
      <w:pPr>
        <w:rPr>
          <w:rFonts w:ascii="Arial" w:hAnsi="Arial" w:cs="Arial"/>
          <w:b/>
          <w:color w:val="000000" w:themeColor="text1"/>
          <w:lang w:val="en-US"/>
        </w:rPr>
      </w:pPr>
      <w:r w:rsidRPr="00521E46">
        <w:rPr>
          <w:rFonts w:ascii="Arial" w:hAnsi="Arial" w:cs="Arial"/>
          <w:b/>
          <w:color w:val="000000" w:themeColor="text1"/>
          <w:lang w:val="en-US"/>
        </w:rPr>
        <w:t>Supplemental Figure 6:</w:t>
      </w:r>
      <w:r w:rsidRPr="00521E46">
        <w:rPr>
          <w:rFonts w:ascii="Arial" w:hAnsi="Arial" w:cs="Arial"/>
          <w:color w:val="000000" w:themeColor="text1"/>
          <w:lang w:val="en-US"/>
        </w:rPr>
        <w:t xml:space="preserve"> </w:t>
      </w:r>
      <w:r w:rsidRPr="00521E46">
        <w:rPr>
          <w:rFonts w:ascii="Arial" w:hAnsi="Arial" w:cs="Arial"/>
          <w:b/>
          <w:color w:val="000000" w:themeColor="text1"/>
          <w:lang w:val="en-US"/>
        </w:rPr>
        <w:t>LD structure of MIR4773.</w:t>
      </w:r>
    </w:p>
    <w:p w:rsidR="0005049E" w:rsidRPr="00521E46" w:rsidRDefault="0005049E" w:rsidP="0005049E">
      <w:pPr>
        <w:rPr>
          <w:rFonts w:ascii="Arial" w:hAnsi="Arial" w:cs="Arial"/>
          <w:b/>
          <w:color w:val="000000" w:themeColor="text1"/>
          <w:lang w:val="en-US"/>
        </w:rPr>
      </w:pPr>
    </w:p>
    <w:p w:rsidR="0005049E" w:rsidRPr="00521E46" w:rsidRDefault="0005049E" w:rsidP="0005049E">
      <w:pPr>
        <w:rPr>
          <w:color w:val="000000" w:themeColor="text1"/>
          <w:lang w:val="en-US"/>
        </w:rPr>
        <w:sectPr w:rsidR="0005049E" w:rsidRPr="00521E46" w:rsidSect="006E5607">
          <w:footerReference w:type="even" r:id="rId9"/>
          <w:footerReference w:type="default" r:id="rId10"/>
          <w:pgSz w:w="11900" w:h="16840"/>
          <w:pgMar w:top="1417" w:right="1417" w:bottom="1134" w:left="1417" w:header="708" w:footer="708" w:gutter="0"/>
          <w:cols w:space="708"/>
          <w:docGrid w:linePitch="360"/>
        </w:sectPr>
      </w:pPr>
      <w:r w:rsidRPr="00521E46">
        <w:rPr>
          <w:noProof/>
          <w:color w:val="000000" w:themeColor="text1"/>
        </w:rPr>
        <w:drawing>
          <wp:inline distT="0" distB="0" distL="0" distR="0" wp14:anchorId="4B6E877A" wp14:editId="6A5031CD">
            <wp:extent cx="1526400" cy="25344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D_MIR4773.png"/>
                    <pic:cNvPicPr/>
                  </pic:nvPicPr>
                  <pic:blipFill>
                    <a:blip r:embed="rId11">
                      <a:extLst>
                        <a:ext uri="{28A0092B-C50C-407E-A947-70E740481C1C}">
                          <a14:useLocalDpi xmlns:a14="http://schemas.microsoft.com/office/drawing/2010/main" val="0"/>
                        </a:ext>
                      </a:extLst>
                    </a:blip>
                    <a:stretch>
                      <a:fillRect/>
                    </a:stretch>
                  </pic:blipFill>
                  <pic:spPr>
                    <a:xfrm>
                      <a:off x="0" y="0"/>
                      <a:ext cx="1526400" cy="2534400"/>
                    </a:xfrm>
                    <a:prstGeom prst="rect">
                      <a:avLst/>
                    </a:prstGeom>
                  </pic:spPr>
                </pic:pic>
              </a:graphicData>
            </a:graphic>
          </wp:inline>
        </w:drawing>
      </w:r>
    </w:p>
    <w:p w:rsidR="0005049E" w:rsidRPr="00521E46" w:rsidRDefault="0005049E" w:rsidP="0005049E">
      <w:pPr>
        <w:rPr>
          <w:color w:val="000000" w:themeColor="text1"/>
          <w:lang w:val="en-US"/>
        </w:rPr>
      </w:pPr>
    </w:p>
    <w:p w:rsidR="0005049E" w:rsidRPr="00521E46" w:rsidRDefault="0005049E" w:rsidP="0005049E">
      <w:pPr>
        <w:spacing w:before="120" w:after="120"/>
        <w:jc w:val="both"/>
        <w:rPr>
          <w:rFonts w:ascii="Arial" w:hAnsi="Arial" w:cs="Arial"/>
          <w:b/>
          <w:color w:val="000000" w:themeColor="text1"/>
          <w:lang w:val="en-US"/>
        </w:rPr>
      </w:pPr>
      <w:r w:rsidRPr="00521E46">
        <w:rPr>
          <w:rFonts w:ascii="Arial" w:hAnsi="Arial" w:cs="Arial"/>
          <w:b/>
          <w:color w:val="000000" w:themeColor="text1"/>
          <w:lang w:val="en-US"/>
        </w:rPr>
        <w:t>Supplemental Table 1:</w:t>
      </w:r>
      <w:r w:rsidRPr="00521E46">
        <w:rPr>
          <w:rFonts w:ascii="Arial" w:hAnsi="Arial" w:cs="Arial"/>
          <w:color w:val="000000" w:themeColor="text1"/>
          <w:lang w:val="en-US"/>
        </w:rPr>
        <w:t xml:space="preserve"> </w:t>
      </w:r>
      <w:r w:rsidRPr="00521E46">
        <w:rPr>
          <w:rFonts w:ascii="Arial" w:hAnsi="Arial" w:cs="Arial"/>
          <w:b/>
          <w:color w:val="000000" w:themeColor="text1"/>
          <w:lang w:val="en-US"/>
        </w:rPr>
        <w:t xml:space="preserve">Description of study samples. </w:t>
      </w:r>
      <w:r w:rsidRPr="00521E46">
        <w:rPr>
          <w:rFonts w:ascii="Arial" w:hAnsi="Arial" w:cs="Arial"/>
          <w:color w:val="000000" w:themeColor="text1"/>
          <w:lang w:val="en-US"/>
        </w:rPr>
        <w:t>Demographic and clinical characteristics are given for all samples used in the study. The healthy-control sample used for fMRI analysis was stratified for rs2910931 genotype group, with high-risk individuals defined as those carrying at least one minor (T)-allele (AT and TT). Data are given as mean and SD. ASI: Anxiety Sensitivity Index; ACQ: Agoraphobic Cognitions Questionnaire; BDI II: Beck Depression Inventory II; US aversiveness: Unconditioned Stimulus aversiveness ratings in the experimental fear conditioning paradigm applied (10-point Likert Scale).</w:t>
      </w:r>
    </w:p>
    <w:p w:rsidR="0005049E" w:rsidRPr="00521E46" w:rsidRDefault="0005049E" w:rsidP="0005049E">
      <w:pPr>
        <w:rPr>
          <w:color w:val="000000" w:themeColor="text1"/>
          <w:lang w:val="en-US"/>
        </w:rPr>
      </w:pPr>
    </w:p>
    <w:tbl>
      <w:tblPr>
        <w:tblW w:w="14200" w:type="dxa"/>
        <w:tblInd w:w="70" w:type="dxa"/>
        <w:tblCellMar>
          <w:left w:w="70" w:type="dxa"/>
          <w:right w:w="70" w:type="dxa"/>
        </w:tblCellMar>
        <w:tblLook w:val="04A0" w:firstRow="1" w:lastRow="0" w:firstColumn="1" w:lastColumn="0" w:noHBand="0" w:noVBand="1"/>
      </w:tblPr>
      <w:tblGrid>
        <w:gridCol w:w="1667"/>
        <w:gridCol w:w="1564"/>
        <w:gridCol w:w="1564"/>
        <w:gridCol w:w="1573"/>
        <w:gridCol w:w="1564"/>
        <w:gridCol w:w="1564"/>
        <w:gridCol w:w="1573"/>
        <w:gridCol w:w="1564"/>
        <w:gridCol w:w="1567"/>
      </w:tblGrid>
      <w:tr w:rsidR="0005049E" w:rsidRPr="00521E46" w:rsidTr="00D804D5">
        <w:trPr>
          <w:trHeight w:val="306"/>
        </w:trPr>
        <w:tc>
          <w:tcPr>
            <w:tcW w:w="1667" w:type="dxa"/>
            <w:vMerge w:val="restart"/>
            <w:tcBorders>
              <w:top w:val="nil"/>
              <w:left w:val="nil"/>
              <w:bottom w:val="single" w:sz="8" w:space="0" w:color="000000"/>
              <w:right w:val="nil"/>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Sample</w:t>
            </w:r>
          </w:p>
        </w:tc>
        <w:tc>
          <w:tcPr>
            <w:tcW w:w="4701" w:type="dxa"/>
            <w:gridSpan w:val="3"/>
            <w:tcBorders>
              <w:top w:val="nil"/>
              <w:left w:val="single" w:sz="8" w:space="0" w:color="auto"/>
              <w:bottom w:val="nil"/>
              <w:right w:val="single" w:sz="8" w:space="0" w:color="000000"/>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Panic-Net (</w:t>
            </w:r>
            <w:proofErr w:type="spellStart"/>
            <w:r w:rsidRPr="00521E46">
              <w:rPr>
                <w:rFonts w:ascii="Arial Narrow" w:eastAsia="Times New Roman" w:hAnsi="Arial Narrow"/>
                <w:color w:val="000000" w:themeColor="text1"/>
                <w:sz w:val="22"/>
                <w:szCs w:val="22"/>
              </w:rPr>
              <w:t>cases</w:t>
            </w:r>
            <w:proofErr w:type="spellEnd"/>
            <w:r w:rsidRPr="00521E46">
              <w:rPr>
                <w:rFonts w:ascii="Arial Narrow" w:eastAsia="Times New Roman" w:hAnsi="Arial Narrow"/>
                <w:color w:val="000000" w:themeColor="text1"/>
                <w:sz w:val="22"/>
                <w:szCs w:val="22"/>
              </w:rPr>
              <w:t>)</w:t>
            </w:r>
          </w:p>
        </w:tc>
        <w:tc>
          <w:tcPr>
            <w:tcW w:w="4701" w:type="dxa"/>
            <w:gridSpan w:val="3"/>
            <w:tcBorders>
              <w:top w:val="nil"/>
              <w:left w:val="nil"/>
              <w:bottom w:val="nil"/>
              <w:right w:val="single" w:sz="8" w:space="0" w:color="000000"/>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 xml:space="preserve">MEGA </w:t>
            </w:r>
            <w:proofErr w:type="spellStart"/>
            <w:r w:rsidRPr="00521E46">
              <w:rPr>
                <w:rFonts w:ascii="Arial Narrow" w:eastAsia="Times New Roman" w:hAnsi="Arial Narrow"/>
                <w:color w:val="000000" w:themeColor="text1"/>
                <w:sz w:val="22"/>
                <w:szCs w:val="22"/>
              </w:rPr>
              <w:t>study</w:t>
            </w:r>
            <w:proofErr w:type="spellEnd"/>
            <w:r w:rsidRPr="00521E46">
              <w:rPr>
                <w:rFonts w:ascii="Arial Narrow" w:eastAsia="Times New Roman" w:hAnsi="Arial Narrow"/>
                <w:color w:val="000000" w:themeColor="text1"/>
                <w:sz w:val="22"/>
                <w:szCs w:val="22"/>
              </w:rPr>
              <w:t xml:space="preserve"> (</w:t>
            </w:r>
            <w:proofErr w:type="spellStart"/>
            <w:r w:rsidRPr="00521E46">
              <w:rPr>
                <w:rFonts w:ascii="Arial Narrow" w:eastAsia="Times New Roman" w:hAnsi="Arial Narrow"/>
                <w:color w:val="000000" w:themeColor="text1"/>
                <w:sz w:val="22"/>
                <w:szCs w:val="22"/>
              </w:rPr>
              <w:t>controls</w:t>
            </w:r>
            <w:proofErr w:type="spellEnd"/>
            <w:r w:rsidRPr="00521E46">
              <w:rPr>
                <w:rFonts w:ascii="Arial Narrow" w:eastAsia="Times New Roman" w:hAnsi="Arial Narrow"/>
                <w:color w:val="000000" w:themeColor="text1"/>
                <w:sz w:val="22"/>
                <w:szCs w:val="22"/>
              </w:rPr>
              <w:t>)</w:t>
            </w:r>
          </w:p>
        </w:tc>
        <w:tc>
          <w:tcPr>
            <w:tcW w:w="3131" w:type="dxa"/>
            <w:gridSpan w:val="2"/>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 xml:space="preserve">Panic-Net </w:t>
            </w:r>
            <w:proofErr w:type="spellStart"/>
            <w:r w:rsidRPr="00521E46">
              <w:rPr>
                <w:rFonts w:ascii="Arial Narrow" w:eastAsia="Times New Roman" w:hAnsi="Arial Narrow"/>
                <w:color w:val="000000" w:themeColor="text1"/>
                <w:sz w:val="22"/>
                <w:szCs w:val="22"/>
              </w:rPr>
              <w:t>fMRI</w:t>
            </w:r>
            <w:proofErr w:type="spellEnd"/>
            <w:r w:rsidRPr="00521E46">
              <w:rPr>
                <w:rFonts w:ascii="Arial Narrow" w:eastAsia="Times New Roman" w:hAnsi="Arial Narrow"/>
                <w:color w:val="000000" w:themeColor="text1"/>
                <w:sz w:val="22"/>
                <w:szCs w:val="22"/>
              </w:rPr>
              <w:t xml:space="preserve"> (</w:t>
            </w:r>
            <w:proofErr w:type="spellStart"/>
            <w:r w:rsidRPr="00521E46">
              <w:rPr>
                <w:rFonts w:ascii="Arial Narrow" w:eastAsia="Times New Roman" w:hAnsi="Arial Narrow"/>
                <w:color w:val="000000" w:themeColor="text1"/>
                <w:sz w:val="22"/>
                <w:szCs w:val="22"/>
              </w:rPr>
              <w:t>controls</w:t>
            </w:r>
            <w:proofErr w:type="spellEnd"/>
            <w:r w:rsidRPr="00521E46">
              <w:rPr>
                <w:rFonts w:ascii="Arial Narrow" w:eastAsia="Times New Roman" w:hAnsi="Arial Narrow"/>
                <w:color w:val="000000" w:themeColor="text1"/>
                <w:sz w:val="22"/>
                <w:szCs w:val="22"/>
              </w:rPr>
              <w:t>)</w:t>
            </w:r>
          </w:p>
        </w:tc>
      </w:tr>
      <w:tr w:rsidR="0005049E" w:rsidRPr="00521E46" w:rsidTr="00D804D5">
        <w:trPr>
          <w:trHeight w:val="561"/>
        </w:trPr>
        <w:tc>
          <w:tcPr>
            <w:tcW w:w="1667" w:type="dxa"/>
            <w:vMerge/>
            <w:tcBorders>
              <w:top w:val="nil"/>
              <w:left w:val="nil"/>
              <w:bottom w:val="single" w:sz="8" w:space="0" w:color="000000"/>
              <w:right w:val="nil"/>
            </w:tcBorders>
            <w:vAlign w:val="center"/>
            <w:hideMark/>
          </w:tcPr>
          <w:p w:rsidR="0005049E" w:rsidRPr="00521E46" w:rsidRDefault="0005049E" w:rsidP="00D804D5">
            <w:pPr>
              <w:rPr>
                <w:rFonts w:ascii="Arial Narrow" w:eastAsia="Times New Roman" w:hAnsi="Arial Narrow"/>
                <w:color w:val="000000" w:themeColor="text1"/>
                <w:sz w:val="22"/>
                <w:szCs w:val="22"/>
              </w:rPr>
            </w:pPr>
          </w:p>
        </w:tc>
        <w:tc>
          <w:tcPr>
            <w:tcW w:w="1564" w:type="dxa"/>
            <w:tcBorders>
              <w:top w:val="nil"/>
              <w:left w:val="single" w:sz="8" w:space="0" w:color="auto"/>
              <w:bottom w:val="single" w:sz="8" w:space="0" w:color="auto"/>
              <w:right w:val="single" w:sz="4" w:space="0" w:color="auto"/>
            </w:tcBorders>
            <w:shd w:val="clear" w:color="auto" w:fill="auto"/>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Wave 1</w:t>
            </w:r>
          </w:p>
        </w:tc>
        <w:tc>
          <w:tcPr>
            <w:tcW w:w="1564" w:type="dxa"/>
            <w:tcBorders>
              <w:top w:val="nil"/>
              <w:left w:val="nil"/>
              <w:bottom w:val="single" w:sz="8" w:space="0" w:color="auto"/>
              <w:right w:val="nil"/>
            </w:tcBorders>
            <w:shd w:val="clear" w:color="auto" w:fill="auto"/>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Wave 2</w:t>
            </w:r>
          </w:p>
        </w:tc>
        <w:tc>
          <w:tcPr>
            <w:tcW w:w="1573" w:type="dxa"/>
            <w:tcBorders>
              <w:top w:val="nil"/>
              <w:left w:val="single" w:sz="4" w:space="0" w:color="auto"/>
              <w:bottom w:val="single" w:sz="8" w:space="0" w:color="auto"/>
              <w:right w:val="single" w:sz="8" w:space="0" w:color="auto"/>
            </w:tcBorders>
            <w:shd w:val="clear" w:color="auto" w:fill="auto"/>
            <w:vAlign w:val="center"/>
            <w:hideMark/>
          </w:tcPr>
          <w:p w:rsidR="0005049E" w:rsidRPr="00521E46" w:rsidRDefault="0005049E" w:rsidP="00D804D5">
            <w:pPr>
              <w:jc w:val="center"/>
              <w:rPr>
                <w:rFonts w:ascii="Arial Narrow" w:eastAsia="Times New Roman" w:hAnsi="Arial Narrow"/>
                <w:color w:val="000000" w:themeColor="text1"/>
                <w:sz w:val="22"/>
                <w:szCs w:val="22"/>
              </w:rPr>
            </w:pPr>
            <w:proofErr w:type="spellStart"/>
            <w:r w:rsidRPr="00521E46">
              <w:rPr>
                <w:rFonts w:ascii="Arial Narrow" w:eastAsia="Times New Roman" w:hAnsi="Arial Narrow"/>
                <w:color w:val="000000" w:themeColor="text1"/>
                <w:sz w:val="22"/>
                <w:szCs w:val="22"/>
              </w:rPr>
              <w:t>Complete</w:t>
            </w:r>
            <w:proofErr w:type="spellEnd"/>
          </w:p>
        </w:tc>
        <w:tc>
          <w:tcPr>
            <w:tcW w:w="1564" w:type="dxa"/>
            <w:tcBorders>
              <w:top w:val="nil"/>
              <w:left w:val="nil"/>
              <w:bottom w:val="single" w:sz="8" w:space="0" w:color="auto"/>
              <w:right w:val="single" w:sz="4" w:space="0" w:color="auto"/>
            </w:tcBorders>
            <w:shd w:val="clear" w:color="auto" w:fill="auto"/>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Wave 1</w:t>
            </w:r>
          </w:p>
        </w:tc>
        <w:tc>
          <w:tcPr>
            <w:tcW w:w="1564" w:type="dxa"/>
            <w:tcBorders>
              <w:top w:val="nil"/>
              <w:left w:val="nil"/>
              <w:bottom w:val="single" w:sz="8" w:space="0" w:color="auto"/>
              <w:right w:val="nil"/>
            </w:tcBorders>
            <w:shd w:val="clear" w:color="auto" w:fill="auto"/>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Wave 2</w:t>
            </w:r>
          </w:p>
        </w:tc>
        <w:tc>
          <w:tcPr>
            <w:tcW w:w="1573" w:type="dxa"/>
            <w:tcBorders>
              <w:top w:val="nil"/>
              <w:left w:val="single" w:sz="4" w:space="0" w:color="auto"/>
              <w:bottom w:val="single" w:sz="8" w:space="0" w:color="auto"/>
              <w:right w:val="single" w:sz="8" w:space="0" w:color="auto"/>
            </w:tcBorders>
            <w:shd w:val="clear" w:color="auto" w:fill="auto"/>
            <w:vAlign w:val="center"/>
            <w:hideMark/>
          </w:tcPr>
          <w:p w:rsidR="0005049E" w:rsidRPr="00521E46" w:rsidRDefault="0005049E" w:rsidP="00D804D5">
            <w:pPr>
              <w:jc w:val="center"/>
              <w:rPr>
                <w:rFonts w:ascii="Arial Narrow" w:eastAsia="Times New Roman" w:hAnsi="Arial Narrow"/>
                <w:color w:val="000000" w:themeColor="text1"/>
                <w:sz w:val="22"/>
                <w:szCs w:val="22"/>
              </w:rPr>
            </w:pPr>
            <w:proofErr w:type="spellStart"/>
            <w:r w:rsidRPr="00521E46">
              <w:rPr>
                <w:rFonts w:ascii="Arial Narrow" w:eastAsia="Times New Roman" w:hAnsi="Arial Narrow"/>
                <w:color w:val="000000" w:themeColor="text1"/>
                <w:sz w:val="22"/>
                <w:szCs w:val="22"/>
              </w:rPr>
              <w:t>Complete</w:t>
            </w:r>
            <w:proofErr w:type="spellEnd"/>
          </w:p>
        </w:tc>
        <w:tc>
          <w:tcPr>
            <w:tcW w:w="1564" w:type="dxa"/>
            <w:tcBorders>
              <w:top w:val="nil"/>
              <w:left w:val="nil"/>
              <w:bottom w:val="single" w:sz="8" w:space="0" w:color="auto"/>
              <w:right w:val="single" w:sz="4" w:space="0" w:color="auto"/>
            </w:tcBorders>
            <w:shd w:val="clear" w:color="auto" w:fill="auto"/>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 xml:space="preserve">(T)-allele </w:t>
            </w:r>
            <w:proofErr w:type="spellStart"/>
            <w:r w:rsidRPr="00521E46">
              <w:rPr>
                <w:rFonts w:ascii="Arial Narrow" w:eastAsia="Times New Roman" w:hAnsi="Arial Narrow"/>
                <w:color w:val="000000" w:themeColor="text1"/>
                <w:sz w:val="22"/>
                <w:szCs w:val="22"/>
              </w:rPr>
              <w:t>carriers</w:t>
            </w:r>
            <w:proofErr w:type="spellEnd"/>
          </w:p>
        </w:tc>
        <w:tc>
          <w:tcPr>
            <w:tcW w:w="1567" w:type="dxa"/>
            <w:tcBorders>
              <w:top w:val="nil"/>
              <w:left w:val="nil"/>
              <w:bottom w:val="single" w:sz="8" w:space="0" w:color="auto"/>
              <w:right w:val="nil"/>
            </w:tcBorders>
            <w:shd w:val="clear" w:color="auto" w:fill="auto"/>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 xml:space="preserve">Non-(T)-allele </w:t>
            </w:r>
            <w:proofErr w:type="spellStart"/>
            <w:r w:rsidRPr="00521E46">
              <w:rPr>
                <w:rFonts w:ascii="Arial Narrow" w:eastAsia="Times New Roman" w:hAnsi="Arial Narrow"/>
                <w:color w:val="000000" w:themeColor="text1"/>
                <w:sz w:val="22"/>
                <w:szCs w:val="22"/>
              </w:rPr>
              <w:t>carriers</w:t>
            </w:r>
            <w:proofErr w:type="spellEnd"/>
          </w:p>
        </w:tc>
      </w:tr>
      <w:tr w:rsidR="0005049E" w:rsidRPr="00521E46" w:rsidTr="00D804D5">
        <w:trPr>
          <w:trHeight w:val="306"/>
        </w:trPr>
        <w:tc>
          <w:tcPr>
            <w:tcW w:w="1667"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n</w:t>
            </w:r>
          </w:p>
        </w:tc>
        <w:tc>
          <w:tcPr>
            <w:tcW w:w="1564" w:type="dxa"/>
            <w:tcBorders>
              <w:top w:val="nil"/>
              <w:left w:val="single" w:sz="8" w:space="0" w:color="auto"/>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292</w:t>
            </w:r>
          </w:p>
        </w:tc>
        <w:tc>
          <w:tcPr>
            <w:tcW w:w="1564"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214</w:t>
            </w:r>
          </w:p>
        </w:tc>
        <w:tc>
          <w:tcPr>
            <w:tcW w:w="1573" w:type="dxa"/>
            <w:tcBorders>
              <w:top w:val="nil"/>
              <w:left w:val="single" w:sz="4" w:space="0" w:color="auto"/>
              <w:bottom w:val="nil"/>
              <w:right w:val="single" w:sz="8"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506</w:t>
            </w:r>
          </w:p>
        </w:tc>
        <w:tc>
          <w:tcPr>
            <w:tcW w:w="1564" w:type="dxa"/>
            <w:tcBorders>
              <w:top w:val="nil"/>
              <w:left w:val="nil"/>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1628</w:t>
            </w:r>
          </w:p>
        </w:tc>
        <w:tc>
          <w:tcPr>
            <w:tcW w:w="1564"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1416</w:t>
            </w:r>
          </w:p>
        </w:tc>
        <w:tc>
          <w:tcPr>
            <w:tcW w:w="1573" w:type="dxa"/>
            <w:tcBorders>
              <w:top w:val="nil"/>
              <w:left w:val="single" w:sz="4" w:space="0" w:color="auto"/>
              <w:bottom w:val="nil"/>
              <w:right w:val="single" w:sz="8"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3112</w:t>
            </w:r>
          </w:p>
        </w:tc>
        <w:tc>
          <w:tcPr>
            <w:tcW w:w="1564" w:type="dxa"/>
            <w:tcBorders>
              <w:top w:val="nil"/>
              <w:left w:val="nil"/>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25</w:t>
            </w:r>
          </w:p>
        </w:tc>
        <w:tc>
          <w:tcPr>
            <w:tcW w:w="1567"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15</w:t>
            </w:r>
          </w:p>
        </w:tc>
      </w:tr>
      <w:tr w:rsidR="0005049E" w:rsidRPr="00521E46" w:rsidTr="00D804D5">
        <w:trPr>
          <w:trHeight w:val="306"/>
        </w:trPr>
        <w:tc>
          <w:tcPr>
            <w:tcW w:w="1667"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proofErr w:type="spellStart"/>
            <w:r w:rsidRPr="00521E46">
              <w:rPr>
                <w:rFonts w:ascii="Arial Narrow" w:eastAsia="Times New Roman" w:hAnsi="Arial Narrow"/>
                <w:color w:val="000000" w:themeColor="text1"/>
                <w:sz w:val="22"/>
                <w:szCs w:val="22"/>
              </w:rPr>
              <w:t>Female</w:t>
            </w:r>
            <w:proofErr w:type="spellEnd"/>
            <w:r w:rsidRPr="00521E46">
              <w:rPr>
                <w:rFonts w:ascii="Arial Narrow" w:eastAsia="Times New Roman" w:hAnsi="Arial Narrow"/>
                <w:color w:val="000000" w:themeColor="text1"/>
                <w:sz w:val="22"/>
                <w:szCs w:val="22"/>
              </w:rPr>
              <w:t xml:space="preserve"> </w:t>
            </w:r>
            <w:proofErr w:type="spellStart"/>
            <w:r w:rsidRPr="00521E46">
              <w:rPr>
                <w:rFonts w:ascii="Arial Narrow" w:eastAsia="Times New Roman" w:hAnsi="Arial Narrow"/>
                <w:color w:val="000000" w:themeColor="text1"/>
                <w:sz w:val="22"/>
                <w:szCs w:val="22"/>
              </w:rPr>
              <w:t>gender</w:t>
            </w:r>
            <w:proofErr w:type="spellEnd"/>
          </w:p>
        </w:tc>
        <w:tc>
          <w:tcPr>
            <w:tcW w:w="1564" w:type="dxa"/>
            <w:tcBorders>
              <w:top w:val="nil"/>
              <w:left w:val="single" w:sz="8" w:space="0" w:color="auto"/>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74.0</w:t>
            </w:r>
          </w:p>
        </w:tc>
        <w:tc>
          <w:tcPr>
            <w:tcW w:w="1564"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62.5</w:t>
            </w:r>
          </w:p>
        </w:tc>
        <w:tc>
          <w:tcPr>
            <w:tcW w:w="1573" w:type="dxa"/>
            <w:tcBorders>
              <w:top w:val="nil"/>
              <w:left w:val="single" w:sz="4" w:space="0" w:color="auto"/>
              <w:bottom w:val="nil"/>
              <w:right w:val="single" w:sz="8"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70.4</w:t>
            </w:r>
          </w:p>
        </w:tc>
        <w:tc>
          <w:tcPr>
            <w:tcW w:w="1564" w:type="dxa"/>
            <w:tcBorders>
              <w:top w:val="nil"/>
              <w:left w:val="nil"/>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52.6</w:t>
            </w:r>
          </w:p>
        </w:tc>
        <w:tc>
          <w:tcPr>
            <w:tcW w:w="1564"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57.7</w:t>
            </w:r>
          </w:p>
        </w:tc>
        <w:tc>
          <w:tcPr>
            <w:tcW w:w="1573" w:type="dxa"/>
            <w:tcBorders>
              <w:top w:val="nil"/>
              <w:left w:val="single" w:sz="4" w:space="0" w:color="auto"/>
              <w:bottom w:val="nil"/>
              <w:right w:val="single" w:sz="8"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55.3</w:t>
            </w:r>
          </w:p>
        </w:tc>
        <w:tc>
          <w:tcPr>
            <w:tcW w:w="1564" w:type="dxa"/>
            <w:tcBorders>
              <w:top w:val="nil"/>
              <w:left w:val="nil"/>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64.0</w:t>
            </w:r>
          </w:p>
        </w:tc>
        <w:tc>
          <w:tcPr>
            <w:tcW w:w="1567"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53.3</w:t>
            </w:r>
          </w:p>
        </w:tc>
      </w:tr>
      <w:tr w:rsidR="0005049E" w:rsidRPr="00521E46" w:rsidTr="00D804D5">
        <w:trPr>
          <w:trHeight w:val="306"/>
        </w:trPr>
        <w:tc>
          <w:tcPr>
            <w:tcW w:w="1667"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Age</w:t>
            </w:r>
          </w:p>
        </w:tc>
        <w:tc>
          <w:tcPr>
            <w:tcW w:w="1564" w:type="dxa"/>
            <w:tcBorders>
              <w:top w:val="nil"/>
              <w:left w:val="single" w:sz="8" w:space="0" w:color="auto"/>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36.0 (10.8)</w:t>
            </w:r>
          </w:p>
        </w:tc>
        <w:tc>
          <w:tcPr>
            <w:tcW w:w="1564"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34.0 (10.4)</w:t>
            </w:r>
          </w:p>
        </w:tc>
        <w:tc>
          <w:tcPr>
            <w:tcW w:w="1573" w:type="dxa"/>
            <w:tcBorders>
              <w:top w:val="nil"/>
              <w:left w:val="single" w:sz="4" w:space="0" w:color="auto"/>
              <w:bottom w:val="nil"/>
              <w:right w:val="single" w:sz="8"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35.2 (10.7)</w:t>
            </w:r>
          </w:p>
        </w:tc>
        <w:tc>
          <w:tcPr>
            <w:tcW w:w="1564" w:type="dxa"/>
            <w:tcBorders>
              <w:top w:val="nil"/>
              <w:left w:val="nil"/>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25.0 (5.6)</w:t>
            </w:r>
          </w:p>
        </w:tc>
        <w:tc>
          <w:tcPr>
            <w:tcW w:w="1564"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25.6 (5.7)</w:t>
            </w:r>
          </w:p>
        </w:tc>
        <w:tc>
          <w:tcPr>
            <w:tcW w:w="1573" w:type="dxa"/>
            <w:tcBorders>
              <w:top w:val="nil"/>
              <w:left w:val="single" w:sz="4" w:space="0" w:color="auto"/>
              <w:bottom w:val="nil"/>
              <w:right w:val="single" w:sz="8"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25.3 (5.7)</w:t>
            </w:r>
          </w:p>
        </w:tc>
        <w:tc>
          <w:tcPr>
            <w:tcW w:w="1564" w:type="dxa"/>
            <w:tcBorders>
              <w:top w:val="nil"/>
              <w:left w:val="nil"/>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35.8 (11.2)</w:t>
            </w:r>
          </w:p>
        </w:tc>
        <w:tc>
          <w:tcPr>
            <w:tcW w:w="1567"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38.3 (10.1)</w:t>
            </w:r>
          </w:p>
        </w:tc>
      </w:tr>
      <w:tr w:rsidR="0005049E" w:rsidRPr="00521E46" w:rsidTr="00D804D5">
        <w:trPr>
          <w:trHeight w:val="306"/>
        </w:trPr>
        <w:tc>
          <w:tcPr>
            <w:tcW w:w="1667"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ASI total</w:t>
            </w:r>
          </w:p>
        </w:tc>
        <w:tc>
          <w:tcPr>
            <w:tcW w:w="1564" w:type="dxa"/>
            <w:tcBorders>
              <w:top w:val="nil"/>
              <w:left w:val="single" w:sz="8" w:space="0" w:color="auto"/>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31.1 (11.4)</w:t>
            </w:r>
          </w:p>
        </w:tc>
        <w:tc>
          <w:tcPr>
            <w:tcW w:w="1564"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31.0 (10.7)</w:t>
            </w:r>
          </w:p>
        </w:tc>
        <w:tc>
          <w:tcPr>
            <w:tcW w:w="1573" w:type="dxa"/>
            <w:tcBorders>
              <w:top w:val="nil"/>
              <w:left w:val="single" w:sz="4" w:space="0" w:color="auto"/>
              <w:bottom w:val="nil"/>
              <w:right w:val="single" w:sz="8"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31.1 (11.1)</w:t>
            </w:r>
          </w:p>
        </w:tc>
        <w:tc>
          <w:tcPr>
            <w:tcW w:w="1564" w:type="dxa"/>
            <w:tcBorders>
              <w:top w:val="nil"/>
              <w:left w:val="nil"/>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13.2 (6.5)</w:t>
            </w:r>
          </w:p>
        </w:tc>
        <w:tc>
          <w:tcPr>
            <w:tcW w:w="1564"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14.3 (7.3)</w:t>
            </w:r>
          </w:p>
        </w:tc>
        <w:tc>
          <w:tcPr>
            <w:tcW w:w="1573" w:type="dxa"/>
            <w:tcBorders>
              <w:top w:val="nil"/>
              <w:left w:val="single" w:sz="4" w:space="0" w:color="auto"/>
              <w:bottom w:val="nil"/>
              <w:right w:val="single" w:sz="8"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13.7 (6.9)</w:t>
            </w:r>
          </w:p>
        </w:tc>
        <w:tc>
          <w:tcPr>
            <w:tcW w:w="1564" w:type="dxa"/>
            <w:tcBorders>
              <w:top w:val="nil"/>
              <w:left w:val="nil"/>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8.6 (6.9)</w:t>
            </w:r>
          </w:p>
        </w:tc>
        <w:tc>
          <w:tcPr>
            <w:tcW w:w="1567"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8.7 (9.4)</w:t>
            </w:r>
          </w:p>
        </w:tc>
      </w:tr>
      <w:tr w:rsidR="0005049E" w:rsidRPr="00521E46" w:rsidTr="00D804D5">
        <w:trPr>
          <w:trHeight w:val="306"/>
        </w:trPr>
        <w:tc>
          <w:tcPr>
            <w:tcW w:w="1667"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 xml:space="preserve">ACQ total </w:t>
            </w:r>
          </w:p>
        </w:tc>
        <w:tc>
          <w:tcPr>
            <w:tcW w:w="1564" w:type="dxa"/>
            <w:tcBorders>
              <w:top w:val="nil"/>
              <w:left w:val="single" w:sz="8" w:space="0" w:color="auto"/>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2.15 (0.57)</w:t>
            </w:r>
          </w:p>
        </w:tc>
        <w:tc>
          <w:tcPr>
            <w:tcW w:w="1564"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2.23 (0.56)</w:t>
            </w:r>
          </w:p>
        </w:tc>
        <w:tc>
          <w:tcPr>
            <w:tcW w:w="1573" w:type="dxa"/>
            <w:tcBorders>
              <w:top w:val="nil"/>
              <w:left w:val="single" w:sz="4" w:space="0" w:color="auto"/>
              <w:bottom w:val="nil"/>
              <w:right w:val="single" w:sz="8"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2.18 (0.57)</w:t>
            </w:r>
          </w:p>
        </w:tc>
        <w:tc>
          <w:tcPr>
            <w:tcW w:w="1564" w:type="dxa"/>
            <w:tcBorders>
              <w:top w:val="nil"/>
              <w:left w:val="nil"/>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1.35 (0.26)</w:t>
            </w:r>
          </w:p>
        </w:tc>
        <w:tc>
          <w:tcPr>
            <w:tcW w:w="1564"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r w:rsidRPr="00521E46">
              <w:rPr>
                <w:rFonts w:ascii="Arial Narrow" w:eastAsia="Times New Roman" w:hAnsi="Arial Narrow"/>
                <w:i/>
                <w:color w:val="000000" w:themeColor="text1"/>
                <w:sz w:val="22"/>
                <w:szCs w:val="22"/>
              </w:rPr>
              <w:t>1.34 (0.25)</w:t>
            </w:r>
          </w:p>
        </w:tc>
        <w:tc>
          <w:tcPr>
            <w:tcW w:w="1573" w:type="dxa"/>
            <w:tcBorders>
              <w:top w:val="nil"/>
              <w:left w:val="single" w:sz="4" w:space="0" w:color="auto"/>
              <w:bottom w:val="nil"/>
              <w:right w:val="single" w:sz="8"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1.35 (0.26)</w:t>
            </w:r>
          </w:p>
        </w:tc>
        <w:tc>
          <w:tcPr>
            <w:tcW w:w="1564" w:type="dxa"/>
            <w:tcBorders>
              <w:top w:val="nil"/>
              <w:left w:val="nil"/>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proofErr w:type="spellStart"/>
            <w:r w:rsidRPr="00521E46">
              <w:rPr>
                <w:rFonts w:ascii="Arial Narrow" w:eastAsia="Times New Roman" w:hAnsi="Arial Narrow"/>
                <w:color w:val="000000" w:themeColor="text1"/>
                <w:sz w:val="22"/>
                <w:szCs w:val="22"/>
              </w:rPr>
              <w:t>n.a</w:t>
            </w:r>
            <w:proofErr w:type="spellEnd"/>
            <w:r w:rsidRPr="00521E46">
              <w:rPr>
                <w:rFonts w:ascii="Arial Narrow" w:eastAsia="Times New Roman" w:hAnsi="Arial Narrow"/>
                <w:color w:val="000000" w:themeColor="text1"/>
                <w:sz w:val="22"/>
                <w:szCs w:val="22"/>
              </w:rPr>
              <w:t>.</w:t>
            </w:r>
          </w:p>
        </w:tc>
        <w:tc>
          <w:tcPr>
            <w:tcW w:w="1567"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proofErr w:type="spellStart"/>
            <w:r w:rsidRPr="00521E46">
              <w:rPr>
                <w:rFonts w:ascii="Arial Narrow" w:eastAsia="Times New Roman" w:hAnsi="Arial Narrow"/>
                <w:color w:val="000000" w:themeColor="text1"/>
                <w:sz w:val="22"/>
                <w:szCs w:val="22"/>
              </w:rPr>
              <w:t>n.a</w:t>
            </w:r>
            <w:proofErr w:type="spellEnd"/>
            <w:r w:rsidRPr="00521E46">
              <w:rPr>
                <w:rFonts w:ascii="Arial Narrow" w:eastAsia="Times New Roman" w:hAnsi="Arial Narrow"/>
                <w:color w:val="000000" w:themeColor="text1"/>
                <w:sz w:val="22"/>
                <w:szCs w:val="22"/>
              </w:rPr>
              <w:t>.</w:t>
            </w:r>
          </w:p>
        </w:tc>
      </w:tr>
      <w:tr w:rsidR="0005049E" w:rsidRPr="00521E46" w:rsidTr="00D804D5">
        <w:trPr>
          <w:trHeight w:val="306"/>
        </w:trPr>
        <w:tc>
          <w:tcPr>
            <w:tcW w:w="1667"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BDI II total</w:t>
            </w:r>
          </w:p>
        </w:tc>
        <w:tc>
          <w:tcPr>
            <w:tcW w:w="1564" w:type="dxa"/>
            <w:tcBorders>
              <w:top w:val="nil"/>
              <w:left w:val="single" w:sz="8" w:space="0" w:color="auto"/>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proofErr w:type="spellStart"/>
            <w:r w:rsidRPr="00521E46">
              <w:rPr>
                <w:rFonts w:ascii="Arial Narrow" w:eastAsia="Times New Roman" w:hAnsi="Arial Narrow"/>
                <w:i/>
                <w:color w:val="000000" w:themeColor="text1"/>
                <w:sz w:val="22"/>
                <w:szCs w:val="22"/>
              </w:rPr>
              <w:t>n.a</w:t>
            </w:r>
            <w:proofErr w:type="spellEnd"/>
            <w:r w:rsidRPr="00521E46">
              <w:rPr>
                <w:rFonts w:ascii="Arial Narrow" w:eastAsia="Times New Roman" w:hAnsi="Arial Narrow"/>
                <w:i/>
                <w:color w:val="000000" w:themeColor="text1"/>
                <w:sz w:val="22"/>
                <w:szCs w:val="22"/>
              </w:rPr>
              <w:t>.</w:t>
            </w:r>
          </w:p>
        </w:tc>
        <w:tc>
          <w:tcPr>
            <w:tcW w:w="1564"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proofErr w:type="spellStart"/>
            <w:r w:rsidRPr="00521E46">
              <w:rPr>
                <w:rFonts w:ascii="Arial Narrow" w:eastAsia="Times New Roman" w:hAnsi="Arial Narrow"/>
                <w:i/>
                <w:color w:val="000000" w:themeColor="text1"/>
                <w:sz w:val="22"/>
                <w:szCs w:val="22"/>
              </w:rPr>
              <w:t>n.a</w:t>
            </w:r>
            <w:proofErr w:type="spellEnd"/>
            <w:r w:rsidRPr="00521E46">
              <w:rPr>
                <w:rFonts w:ascii="Arial Narrow" w:eastAsia="Times New Roman" w:hAnsi="Arial Narrow"/>
                <w:i/>
                <w:color w:val="000000" w:themeColor="text1"/>
                <w:sz w:val="22"/>
                <w:szCs w:val="22"/>
              </w:rPr>
              <w:t>.</w:t>
            </w:r>
          </w:p>
        </w:tc>
        <w:tc>
          <w:tcPr>
            <w:tcW w:w="1573" w:type="dxa"/>
            <w:tcBorders>
              <w:top w:val="nil"/>
              <w:left w:val="single" w:sz="4" w:space="0" w:color="auto"/>
              <w:bottom w:val="nil"/>
              <w:right w:val="single" w:sz="8"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proofErr w:type="spellStart"/>
            <w:r w:rsidRPr="00521E46">
              <w:rPr>
                <w:rFonts w:ascii="Arial Narrow" w:eastAsia="Times New Roman" w:hAnsi="Arial Narrow"/>
                <w:color w:val="000000" w:themeColor="text1"/>
                <w:sz w:val="22"/>
                <w:szCs w:val="22"/>
              </w:rPr>
              <w:t>n.a</w:t>
            </w:r>
            <w:proofErr w:type="spellEnd"/>
            <w:r w:rsidRPr="00521E46">
              <w:rPr>
                <w:rFonts w:ascii="Arial Narrow" w:eastAsia="Times New Roman" w:hAnsi="Arial Narrow"/>
                <w:color w:val="000000" w:themeColor="text1"/>
                <w:sz w:val="22"/>
                <w:szCs w:val="22"/>
              </w:rPr>
              <w:t>.</w:t>
            </w:r>
          </w:p>
        </w:tc>
        <w:tc>
          <w:tcPr>
            <w:tcW w:w="1564" w:type="dxa"/>
            <w:tcBorders>
              <w:top w:val="nil"/>
              <w:left w:val="nil"/>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proofErr w:type="spellStart"/>
            <w:r w:rsidRPr="00521E46">
              <w:rPr>
                <w:rFonts w:ascii="Arial Narrow" w:eastAsia="Times New Roman" w:hAnsi="Arial Narrow"/>
                <w:i/>
                <w:color w:val="000000" w:themeColor="text1"/>
                <w:sz w:val="22"/>
                <w:szCs w:val="22"/>
              </w:rPr>
              <w:t>n.a</w:t>
            </w:r>
            <w:proofErr w:type="spellEnd"/>
            <w:r w:rsidRPr="00521E46">
              <w:rPr>
                <w:rFonts w:ascii="Arial Narrow" w:eastAsia="Times New Roman" w:hAnsi="Arial Narrow"/>
                <w:i/>
                <w:color w:val="000000" w:themeColor="text1"/>
                <w:sz w:val="22"/>
                <w:szCs w:val="22"/>
              </w:rPr>
              <w:t>.</w:t>
            </w:r>
          </w:p>
        </w:tc>
        <w:tc>
          <w:tcPr>
            <w:tcW w:w="1564"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proofErr w:type="spellStart"/>
            <w:r w:rsidRPr="00521E46">
              <w:rPr>
                <w:rFonts w:ascii="Arial Narrow" w:eastAsia="Times New Roman" w:hAnsi="Arial Narrow"/>
                <w:i/>
                <w:color w:val="000000" w:themeColor="text1"/>
                <w:sz w:val="22"/>
                <w:szCs w:val="22"/>
              </w:rPr>
              <w:t>n.a</w:t>
            </w:r>
            <w:proofErr w:type="spellEnd"/>
            <w:r w:rsidRPr="00521E46">
              <w:rPr>
                <w:rFonts w:ascii="Arial Narrow" w:eastAsia="Times New Roman" w:hAnsi="Arial Narrow"/>
                <w:i/>
                <w:color w:val="000000" w:themeColor="text1"/>
                <w:sz w:val="22"/>
                <w:szCs w:val="22"/>
              </w:rPr>
              <w:t>.</w:t>
            </w:r>
          </w:p>
        </w:tc>
        <w:tc>
          <w:tcPr>
            <w:tcW w:w="1573" w:type="dxa"/>
            <w:tcBorders>
              <w:top w:val="nil"/>
              <w:left w:val="single" w:sz="4" w:space="0" w:color="auto"/>
              <w:bottom w:val="nil"/>
              <w:right w:val="single" w:sz="8"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proofErr w:type="spellStart"/>
            <w:r w:rsidRPr="00521E46">
              <w:rPr>
                <w:rFonts w:ascii="Arial Narrow" w:eastAsia="Times New Roman" w:hAnsi="Arial Narrow"/>
                <w:color w:val="000000" w:themeColor="text1"/>
                <w:sz w:val="22"/>
                <w:szCs w:val="22"/>
              </w:rPr>
              <w:t>n.a</w:t>
            </w:r>
            <w:proofErr w:type="spellEnd"/>
            <w:r w:rsidRPr="00521E46">
              <w:rPr>
                <w:rFonts w:ascii="Arial Narrow" w:eastAsia="Times New Roman" w:hAnsi="Arial Narrow"/>
                <w:color w:val="000000" w:themeColor="text1"/>
                <w:sz w:val="22"/>
                <w:szCs w:val="22"/>
              </w:rPr>
              <w:t>.</w:t>
            </w:r>
          </w:p>
        </w:tc>
        <w:tc>
          <w:tcPr>
            <w:tcW w:w="1564" w:type="dxa"/>
            <w:tcBorders>
              <w:top w:val="nil"/>
              <w:left w:val="nil"/>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1.48 (1.71)</w:t>
            </w:r>
          </w:p>
        </w:tc>
        <w:tc>
          <w:tcPr>
            <w:tcW w:w="1567"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1.40 (2.32)</w:t>
            </w:r>
          </w:p>
        </w:tc>
      </w:tr>
      <w:tr w:rsidR="0005049E" w:rsidRPr="00521E46" w:rsidTr="00D804D5">
        <w:trPr>
          <w:trHeight w:val="306"/>
        </w:trPr>
        <w:tc>
          <w:tcPr>
            <w:tcW w:w="1667"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 xml:space="preserve">US </w:t>
            </w:r>
            <w:proofErr w:type="spellStart"/>
            <w:r w:rsidRPr="00521E46">
              <w:rPr>
                <w:rFonts w:ascii="Arial Narrow" w:eastAsia="Times New Roman" w:hAnsi="Arial Narrow"/>
                <w:color w:val="000000" w:themeColor="text1"/>
                <w:sz w:val="22"/>
                <w:szCs w:val="22"/>
              </w:rPr>
              <w:t>aversiveness</w:t>
            </w:r>
            <w:proofErr w:type="spellEnd"/>
          </w:p>
        </w:tc>
        <w:tc>
          <w:tcPr>
            <w:tcW w:w="1564" w:type="dxa"/>
            <w:tcBorders>
              <w:top w:val="nil"/>
              <w:left w:val="single" w:sz="8" w:space="0" w:color="auto"/>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proofErr w:type="spellStart"/>
            <w:r w:rsidRPr="00521E46">
              <w:rPr>
                <w:rFonts w:ascii="Arial Narrow" w:eastAsia="Times New Roman" w:hAnsi="Arial Narrow"/>
                <w:i/>
                <w:color w:val="000000" w:themeColor="text1"/>
                <w:sz w:val="22"/>
                <w:szCs w:val="22"/>
              </w:rPr>
              <w:t>n.a</w:t>
            </w:r>
            <w:proofErr w:type="spellEnd"/>
            <w:r w:rsidRPr="00521E46">
              <w:rPr>
                <w:rFonts w:ascii="Arial Narrow" w:eastAsia="Times New Roman" w:hAnsi="Arial Narrow"/>
                <w:i/>
                <w:color w:val="000000" w:themeColor="text1"/>
                <w:sz w:val="22"/>
                <w:szCs w:val="22"/>
              </w:rPr>
              <w:t>.</w:t>
            </w:r>
          </w:p>
        </w:tc>
        <w:tc>
          <w:tcPr>
            <w:tcW w:w="1564"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proofErr w:type="spellStart"/>
            <w:r w:rsidRPr="00521E46">
              <w:rPr>
                <w:rFonts w:ascii="Arial Narrow" w:eastAsia="Times New Roman" w:hAnsi="Arial Narrow"/>
                <w:i/>
                <w:color w:val="000000" w:themeColor="text1"/>
                <w:sz w:val="22"/>
                <w:szCs w:val="22"/>
              </w:rPr>
              <w:t>n.a</w:t>
            </w:r>
            <w:proofErr w:type="spellEnd"/>
            <w:r w:rsidRPr="00521E46">
              <w:rPr>
                <w:rFonts w:ascii="Arial Narrow" w:eastAsia="Times New Roman" w:hAnsi="Arial Narrow"/>
                <w:i/>
                <w:color w:val="000000" w:themeColor="text1"/>
                <w:sz w:val="22"/>
                <w:szCs w:val="22"/>
              </w:rPr>
              <w:t>.</w:t>
            </w:r>
          </w:p>
        </w:tc>
        <w:tc>
          <w:tcPr>
            <w:tcW w:w="1573" w:type="dxa"/>
            <w:tcBorders>
              <w:top w:val="nil"/>
              <w:left w:val="single" w:sz="4" w:space="0" w:color="auto"/>
              <w:bottom w:val="nil"/>
              <w:right w:val="single" w:sz="8"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proofErr w:type="spellStart"/>
            <w:r w:rsidRPr="00521E46">
              <w:rPr>
                <w:rFonts w:ascii="Arial Narrow" w:eastAsia="Times New Roman" w:hAnsi="Arial Narrow"/>
                <w:color w:val="000000" w:themeColor="text1"/>
                <w:sz w:val="22"/>
                <w:szCs w:val="22"/>
              </w:rPr>
              <w:t>n.a</w:t>
            </w:r>
            <w:proofErr w:type="spellEnd"/>
            <w:r w:rsidRPr="00521E46">
              <w:rPr>
                <w:rFonts w:ascii="Arial Narrow" w:eastAsia="Times New Roman" w:hAnsi="Arial Narrow"/>
                <w:color w:val="000000" w:themeColor="text1"/>
                <w:sz w:val="22"/>
                <w:szCs w:val="22"/>
              </w:rPr>
              <w:t>.</w:t>
            </w:r>
          </w:p>
        </w:tc>
        <w:tc>
          <w:tcPr>
            <w:tcW w:w="1564" w:type="dxa"/>
            <w:tcBorders>
              <w:top w:val="nil"/>
              <w:left w:val="nil"/>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proofErr w:type="spellStart"/>
            <w:r w:rsidRPr="00521E46">
              <w:rPr>
                <w:rFonts w:ascii="Arial Narrow" w:eastAsia="Times New Roman" w:hAnsi="Arial Narrow"/>
                <w:i/>
                <w:color w:val="000000" w:themeColor="text1"/>
                <w:sz w:val="22"/>
                <w:szCs w:val="22"/>
              </w:rPr>
              <w:t>n.a</w:t>
            </w:r>
            <w:proofErr w:type="spellEnd"/>
            <w:r w:rsidRPr="00521E46">
              <w:rPr>
                <w:rFonts w:ascii="Arial Narrow" w:eastAsia="Times New Roman" w:hAnsi="Arial Narrow"/>
                <w:i/>
                <w:color w:val="000000" w:themeColor="text1"/>
                <w:sz w:val="22"/>
                <w:szCs w:val="22"/>
              </w:rPr>
              <w:t>.</w:t>
            </w:r>
          </w:p>
        </w:tc>
        <w:tc>
          <w:tcPr>
            <w:tcW w:w="1564"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i/>
                <w:color w:val="000000" w:themeColor="text1"/>
                <w:sz w:val="22"/>
                <w:szCs w:val="22"/>
              </w:rPr>
            </w:pPr>
            <w:proofErr w:type="spellStart"/>
            <w:r w:rsidRPr="00521E46">
              <w:rPr>
                <w:rFonts w:ascii="Arial Narrow" w:eastAsia="Times New Roman" w:hAnsi="Arial Narrow"/>
                <w:i/>
                <w:color w:val="000000" w:themeColor="text1"/>
                <w:sz w:val="22"/>
                <w:szCs w:val="22"/>
              </w:rPr>
              <w:t>n.a</w:t>
            </w:r>
            <w:proofErr w:type="spellEnd"/>
            <w:r w:rsidRPr="00521E46">
              <w:rPr>
                <w:rFonts w:ascii="Arial Narrow" w:eastAsia="Times New Roman" w:hAnsi="Arial Narrow"/>
                <w:i/>
                <w:color w:val="000000" w:themeColor="text1"/>
                <w:sz w:val="22"/>
                <w:szCs w:val="22"/>
              </w:rPr>
              <w:t>.</w:t>
            </w:r>
          </w:p>
        </w:tc>
        <w:tc>
          <w:tcPr>
            <w:tcW w:w="1573" w:type="dxa"/>
            <w:tcBorders>
              <w:top w:val="nil"/>
              <w:left w:val="single" w:sz="4" w:space="0" w:color="auto"/>
              <w:bottom w:val="nil"/>
              <w:right w:val="single" w:sz="8"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proofErr w:type="spellStart"/>
            <w:r w:rsidRPr="00521E46">
              <w:rPr>
                <w:rFonts w:ascii="Arial Narrow" w:eastAsia="Times New Roman" w:hAnsi="Arial Narrow"/>
                <w:color w:val="000000" w:themeColor="text1"/>
                <w:sz w:val="22"/>
                <w:szCs w:val="22"/>
              </w:rPr>
              <w:t>n.a</w:t>
            </w:r>
            <w:proofErr w:type="spellEnd"/>
            <w:r w:rsidRPr="00521E46">
              <w:rPr>
                <w:rFonts w:ascii="Arial Narrow" w:eastAsia="Times New Roman" w:hAnsi="Arial Narrow"/>
                <w:color w:val="000000" w:themeColor="text1"/>
                <w:sz w:val="22"/>
                <w:szCs w:val="22"/>
              </w:rPr>
              <w:t>.</w:t>
            </w:r>
          </w:p>
        </w:tc>
        <w:tc>
          <w:tcPr>
            <w:tcW w:w="1564" w:type="dxa"/>
            <w:tcBorders>
              <w:top w:val="nil"/>
              <w:left w:val="nil"/>
              <w:bottom w:val="nil"/>
              <w:right w:val="single" w:sz="4" w:space="0" w:color="auto"/>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8.0 (1.2)</w:t>
            </w:r>
          </w:p>
        </w:tc>
        <w:tc>
          <w:tcPr>
            <w:tcW w:w="1567" w:type="dxa"/>
            <w:tcBorders>
              <w:top w:val="nil"/>
              <w:left w:val="nil"/>
              <w:bottom w:val="nil"/>
              <w:right w:val="nil"/>
            </w:tcBorders>
            <w:shd w:val="clear" w:color="auto" w:fill="auto"/>
            <w:noWrap/>
            <w:vAlign w:val="center"/>
            <w:hideMark/>
          </w:tcPr>
          <w:p w:rsidR="0005049E" w:rsidRPr="00521E46" w:rsidRDefault="0005049E" w:rsidP="00D804D5">
            <w:pPr>
              <w:jc w:val="center"/>
              <w:rPr>
                <w:rFonts w:ascii="Arial Narrow" w:eastAsia="Times New Roman" w:hAnsi="Arial Narrow"/>
                <w:color w:val="000000" w:themeColor="text1"/>
                <w:sz w:val="22"/>
                <w:szCs w:val="22"/>
              </w:rPr>
            </w:pPr>
            <w:r w:rsidRPr="00521E46">
              <w:rPr>
                <w:rFonts w:ascii="Arial Narrow" w:eastAsia="Times New Roman" w:hAnsi="Arial Narrow"/>
                <w:color w:val="000000" w:themeColor="text1"/>
                <w:sz w:val="22"/>
                <w:szCs w:val="22"/>
              </w:rPr>
              <w:t>8.4 (0.7)</w:t>
            </w:r>
          </w:p>
        </w:tc>
      </w:tr>
    </w:tbl>
    <w:p w:rsidR="0005049E" w:rsidRPr="00521E46" w:rsidRDefault="0005049E" w:rsidP="0005049E">
      <w:pPr>
        <w:rPr>
          <w:color w:val="000000" w:themeColor="text1"/>
          <w:lang w:val="en-US"/>
        </w:rPr>
      </w:pPr>
    </w:p>
    <w:p w:rsidR="0005049E" w:rsidRPr="00521E46" w:rsidRDefault="0005049E" w:rsidP="0005049E">
      <w:pPr>
        <w:rPr>
          <w:color w:val="000000" w:themeColor="text1"/>
          <w:lang w:val="en-US"/>
        </w:rPr>
      </w:pPr>
    </w:p>
    <w:p w:rsidR="0005049E" w:rsidRPr="00521E46" w:rsidRDefault="0005049E" w:rsidP="0005049E">
      <w:pPr>
        <w:rPr>
          <w:color w:val="000000" w:themeColor="text1"/>
          <w:lang w:val="en-US"/>
        </w:rPr>
      </w:pPr>
    </w:p>
    <w:p w:rsidR="0005049E" w:rsidRPr="00521E46" w:rsidRDefault="0005049E" w:rsidP="0005049E">
      <w:pPr>
        <w:rPr>
          <w:color w:val="000000" w:themeColor="text1"/>
          <w:lang w:val="en-US"/>
        </w:rPr>
        <w:sectPr w:rsidR="0005049E" w:rsidRPr="00521E46" w:rsidSect="0034204C">
          <w:pgSz w:w="16840" w:h="11900" w:orient="landscape"/>
          <w:pgMar w:top="1417" w:right="1417" w:bottom="1417" w:left="1134" w:header="708" w:footer="708" w:gutter="0"/>
          <w:cols w:space="708"/>
          <w:docGrid w:linePitch="360"/>
        </w:sectPr>
      </w:pPr>
    </w:p>
    <w:p w:rsidR="0005049E" w:rsidRPr="00521E46" w:rsidRDefault="0005049E" w:rsidP="0005049E">
      <w:pPr>
        <w:rPr>
          <w:color w:val="000000" w:themeColor="text1"/>
          <w:lang w:val="en-US"/>
        </w:rPr>
      </w:pPr>
    </w:p>
    <w:p w:rsidR="0005049E" w:rsidRPr="00521E46" w:rsidRDefault="0005049E" w:rsidP="0005049E">
      <w:pPr>
        <w:jc w:val="both"/>
        <w:rPr>
          <w:rFonts w:ascii="Arial" w:hAnsi="Arial" w:cs="Arial"/>
          <w:color w:val="000000" w:themeColor="text1"/>
          <w:lang w:val="en-US"/>
        </w:rPr>
      </w:pPr>
      <w:r w:rsidRPr="00521E46">
        <w:rPr>
          <w:rFonts w:ascii="Arial" w:hAnsi="Arial" w:cs="Arial"/>
          <w:b/>
          <w:color w:val="000000" w:themeColor="text1"/>
          <w:lang w:val="en-US"/>
        </w:rPr>
        <w:t>Supplemental Table 2:</w:t>
      </w:r>
      <w:r w:rsidRPr="00521E46">
        <w:rPr>
          <w:rFonts w:ascii="Arial" w:hAnsi="Arial" w:cs="Arial"/>
          <w:color w:val="000000" w:themeColor="text1"/>
          <w:lang w:val="en-US"/>
        </w:rPr>
        <w:t xml:space="preserve"> </w:t>
      </w:r>
      <w:r w:rsidRPr="00521E46">
        <w:rPr>
          <w:rFonts w:ascii="Arial" w:hAnsi="Arial" w:cs="Arial"/>
          <w:b/>
          <w:color w:val="000000" w:themeColor="text1"/>
          <w:lang w:val="en-US"/>
        </w:rPr>
        <w:t xml:space="preserve">Summary of </w:t>
      </w:r>
      <w:r w:rsidRPr="00521E46">
        <w:rPr>
          <w:rFonts w:ascii="Arial" w:hAnsi="Arial" w:cs="Arial"/>
          <w:b/>
          <w:i/>
          <w:color w:val="000000" w:themeColor="text1"/>
          <w:lang w:val="en-US"/>
        </w:rPr>
        <w:t>SCL6A2</w:t>
      </w:r>
      <w:r w:rsidRPr="00521E46">
        <w:rPr>
          <w:rFonts w:ascii="Arial" w:hAnsi="Arial" w:cs="Arial"/>
          <w:b/>
          <w:color w:val="000000" w:themeColor="text1"/>
          <w:lang w:val="en-US"/>
        </w:rPr>
        <w:t xml:space="preserve"> regulation by microRNA. </w:t>
      </w:r>
      <w:r w:rsidRPr="00521E46">
        <w:rPr>
          <w:rFonts w:ascii="Arial" w:hAnsi="Arial" w:cs="Arial"/>
          <w:color w:val="000000" w:themeColor="text1"/>
          <w:lang w:val="en-US"/>
        </w:rPr>
        <w:t>44 microRNA</w:t>
      </w:r>
      <w:r w:rsidRPr="00521E46">
        <w:rPr>
          <w:rFonts w:ascii="Arial" w:hAnsi="Arial" w:cs="Arial"/>
          <w:b/>
          <w:color w:val="000000" w:themeColor="text1"/>
          <w:lang w:val="en-US"/>
        </w:rPr>
        <w:t xml:space="preserve"> </w:t>
      </w:r>
      <w:r w:rsidRPr="00521E46">
        <w:rPr>
          <w:rFonts w:ascii="Arial" w:hAnsi="Arial" w:cs="Arial"/>
          <w:color w:val="000000" w:themeColor="text1"/>
          <w:lang w:val="en-US"/>
        </w:rPr>
        <w:t xml:space="preserve">selected according to </w:t>
      </w:r>
      <w:r w:rsidRPr="00521E46">
        <w:rPr>
          <w:rFonts w:ascii="Arial" w:hAnsi="Arial" w:cs="Arial"/>
          <w:i/>
          <w:color w:val="000000" w:themeColor="text1"/>
          <w:lang w:val="en-US"/>
        </w:rPr>
        <w:t>in silico</w:t>
      </w:r>
      <w:r w:rsidRPr="00521E46">
        <w:rPr>
          <w:rFonts w:ascii="Arial" w:hAnsi="Arial" w:cs="Arial"/>
          <w:color w:val="000000" w:themeColor="text1"/>
          <w:lang w:val="en-US"/>
        </w:rPr>
        <w:t xml:space="preserve"> prediction for regulation of </w:t>
      </w:r>
      <w:r w:rsidRPr="00521E46">
        <w:rPr>
          <w:rFonts w:ascii="Arial" w:hAnsi="Arial" w:cs="Arial"/>
          <w:i/>
          <w:color w:val="000000" w:themeColor="text1"/>
          <w:lang w:val="en-US"/>
        </w:rPr>
        <w:t>SLC6A2</w:t>
      </w:r>
      <w:r w:rsidRPr="00521E46">
        <w:rPr>
          <w:rFonts w:ascii="Arial" w:hAnsi="Arial" w:cs="Arial"/>
          <w:color w:val="000000" w:themeColor="text1"/>
          <w:lang w:val="en-US"/>
        </w:rPr>
        <w:t xml:space="preserve"> expression by </w:t>
      </w:r>
      <w:proofErr w:type="spellStart"/>
      <w:r w:rsidRPr="00521E46">
        <w:rPr>
          <w:rFonts w:ascii="Arial" w:hAnsi="Arial" w:cs="Arial"/>
          <w:color w:val="000000" w:themeColor="text1"/>
          <w:lang w:val="en-US"/>
        </w:rPr>
        <w:t>TargetScan</w:t>
      </w:r>
      <w:proofErr w:type="spellEnd"/>
      <w:r w:rsidRPr="00521E46">
        <w:rPr>
          <w:rFonts w:ascii="Arial" w:hAnsi="Arial" w:cs="Arial"/>
          <w:color w:val="000000" w:themeColor="text1"/>
          <w:lang w:val="en-US"/>
        </w:rPr>
        <w:t xml:space="preserve"> 6.2, DIANA-</w:t>
      </w:r>
      <w:proofErr w:type="spellStart"/>
      <w:r w:rsidRPr="00521E46">
        <w:rPr>
          <w:rFonts w:ascii="Arial" w:hAnsi="Arial" w:cs="Arial"/>
          <w:color w:val="000000" w:themeColor="text1"/>
          <w:lang w:val="en-US"/>
        </w:rPr>
        <w:t>microT</w:t>
      </w:r>
      <w:proofErr w:type="spellEnd"/>
      <w:r w:rsidRPr="00521E46">
        <w:rPr>
          <w:rFonts w:ascii="Arial" w:hAnsi="Arial" w:cs="Arial"/>
          <w:color w:val="000000" w:themeColor="text1"/>
          <w:lang w:val="en-US"/>
        </w:rPr>
        <w:t xml:space="preserve">-CDS and </w:t>
      </w:r>
      <w:proofErr w:type="spellStart"/>
      <w:r w:rsidRPr="00521E46">
        <w:rPr>
          <w:rFonts w:ascii="Arial" w:hAnsi="Arial" w:cs="Arial"/>
          <w:color w:val="000000" w:themeColor="text1"/>
          <w:lang w:val="en-US"/>
        </w:rPr>
        <w:t>mirDB</w:t>
      </w:r>
      <w:proofErr w:type="spellEnd"/>
      <w:r w:rsidRPr="00521E46">
        <w:rPr>
          <w:rFonts w:ascii="Arial" w:hAnsi="Arial" w:cs="Arial"/>
          <w:color w:val="000000" w:themeColor="text1"/>
          <w:lang w:val="en-US"/>
        </w:rPr>
        <w:t xml:space="preserve"> were experimentally tested by means of luciferase activity assays. Activity of firefly luciferase upon </w:t>
      </w:r>
      <w:proofErr w:type="spellStart"/>
      <w:r w:rsidRPr="00521E46">
        <w:rPr>
          <w:rFonts w:ascii="Arial" w:hAnsi="Arial" w:cs="Arial"/>
          <w:color w:val="000000" w:themeColor="text1"/>
          <w:lang w:val="en-US"/>
        </w:rPr>
        <w:t>cotransfection</w:t>
      </w:r>
      <w:proofErr w:type="spellEnd"/>
      <w:r w:rsidRPr="00521E46">
        <w:rPr>
          <w:rFonts w:ascii="Arial" w:hAnsi="Arial" w:cs="Arial"/>
          <w:color w:val="000000" w:themeColor="text1"/>
          <w:lang w:val="en-US"/>
        </w:rPr>
        <w:t xml:space="preserve"> of the corresponding microRNA and normalization to control </w:t>
      </w:r>
      <w:proofErr w:type="spellStart"/>
      <w:r w:rsidRPr="00521E46">
        <w:rPr>
          <w:rFonts w:ascii="Arial" w:hAnsi="Arial" w:cs="Arial"/>
          <w:color w:val="000000" w:themeColor="text1"/>
          <w:lang w:val="en-US"/>
        </w:rPr>
        <w:t>renilla</w:t>
      </w:r>
      <w:proofErr w:type="spellEnd"/>
      <w:r w:rsidRPr="00521E46">
        <w:rPr>
          <w:rFonts w:ascii="Arial" w:hAnsi="Arial" w:cs="Arial"/>
          <w:color w:val="000000" w:themeColor="text1"/>
          <w:lang w:val="en-US"/>
        </w:rPr>
        <w:t xml:space="preserve"> luciferase activity, negative-control transfection and negative control vector indicates expression regulation of </w:t>
      </w:r>
      <w:r w:rsidRPr="00521E46">
        <w:rPr>
          <w:rFonts w:ascii="Arial" w:hAnsi="Arial" w:cs="Arial"/>
          <w:i/>
          <w:color w:val="000000" w:themeColor="text1"/>
          <w:lang w:val="en-US"/>
        </w:rPr>
        <w:t xml:space="preserve">SLC6A2 </w:t>
      </w:r>
      <w:r w:rsidRPr="00521E46">
        <w:rPr>
          <w:rFonts w:ascii="Arial" w:hAnsi="Arial" w:cs="Arial"/>
          <w:color w:val="000000" w:themeColor="text1"/>
          <w:lang w:val="en-US"/>
        </w:rPr>
        <w:t xml:space="preserve">by microRNA binding to the 3’UTR of </w:t>
      </w:r>
      <w:r w:rsidRPr="00521E46">
        <w:rPr>
          <w:rFonts w:ascii="Arial" w:hAnsi="Arial" w:cs="Arial"/>
          <w:i/>
          <w:color w:val="000000" w:themeColor="text1"/>
          <w:lang w:val="en-US"/>
        </w:rPr>
        <w:t>SLC6A2</w:t>
      </w:r>
      <w:r w:rsidRPr="00521E46">
        <w:rPr>
          <w:rFonts w:ascii="Arial" w:hAnsi="Arial" w:cs="Arial"/>
          <w:color w:val="000000" w:themeColor="text1"/>
          <w:lang w:val="en-US"/>
        </w:rPr>
        <w:t xml:space="preserve">. Data are given as mean and SEM of at least n = 3 independent technical triplicates. </w:t>
      </w:r>
    </w:p>
    <w:p w:rsidR="0005049E" w:rsidRPr="00521E46" w:rsidRDefault="0005049E" w:rsidP="0005049E">
      <w:pPr>
        <w:rPr>
          <w:color w:val="000000" w:themeColor="text1"/>
          <w:lang w:val="en-US"/>
        </w:rPr>
      </w:pPr>
    </w:p>
    <w:tbl>
      <w:tblPr>
        <w:tblW w:w="0" w:type="auto"/>
        <w:tblLook w:val="04A0" w:firstRow="1" w:lastRow="0" w:firstColumn="1" w:lastColumn="0" w:noHBand="0" w:noVBand="1"/>
      </w:tblPr>
      <w:tblGrid>
        <w:gridCol w:w="1803"/>
        <w:gridCol w:w="1418"/>
        <w:gridCol w:w="627"/>
        <w:gridCol w:w="1539"/>
      </w:tblGrid>
      <w:tr w:rsidR="0005049E" w:rsidRPr="00521E46" w:rsidTr="00D804D5">
        <w:trPr>
          <w:trHeight w:val="57"/>
        </w:trPr>
        <w:tc>
          <w:tcPr>
            <w:tcW w:w="1803" w:type="dxa"/>
            <w:tcBorders>
              <w:bottom w:val="single" w:sz="4" w:space="0" w:color="auto"/>
              <w:right w:val="single" w:sz="4" w:space="0" w:color="auto"/>
            </w:tcBorders>
            <w:shd w:val="clear" w:color="auto" w:fill="auto"/>
            <w:vAlign w:val="center"/>
          </w:tcPr>
          <w:p w:rsidR="0005049E" w:rsidRPr="00521E46" w:rsidRDefault="0005049E" w:rsidP="00D804D5">
            <w:pPr>
              <w:jc w:val="center"/>
              <w:rPr>
                <w:rFonts w:ascii="Arial Narrow" w:hAnsi="Arial Narrow" w:cs="Arial"/>
                <w:b/>
                <w:color w:val="000000" w:themeColor="text1"/>
                <w:sz w:val="20"/>
                <w:szCs w:val="20"/>
                <w:lang w:val="en-US"/>
              </w:rPr>
            </w:pPr>
            <w:r w:rsidRPr="00521E46">
              <w:rPr>
                <w:rFonts w:ascii="Arial Narrow" w:hAnsi="Arial Narrow" w:cs="Arial"/>
                <w:b/>
                <w:color w:val="000000" w:themeColor="text1"/>
                <w:sz w:val="20"/>
                <w:szCs w:val="20"/>
                <w:lang w:val="en-US"/>
              </w:rPr>
              <w:t>microRNA</w:t>
            </w:r>
          </w:p>
        </w:tc>
        <w:tc>
          <w:tcPr>
            <w:tcW w:w="1418" w:type="dxa"/>
            <w:tcBorders>
              <w:left w:val="single" w:sz="4" w:space="0" w:color="auto"/>
              <w:bottom w:val="single" w:sz="4" w:space="0" w:color="auto"/>
            </w:tcBorders>
            <w:shd w:val="clear" w:color="auto" w:fill="auto"/>
            <w:vAlign w:val="center"/>
          </w:tcPr>
          <w:p w:rsidR="0005049E" w:rsidRPr="00521E46" w:rsidRDefault="0005049E" w:rsidP="00D804D5">
            <w:pPr>
              <w:jc w:val="center"/>
              <w:rPr>
                <w:rFonts w:ascii="Arial Narrow" w:hAnsi="Arial Narrow" w:cs="Arial"/>
                <w:b/>
                <w:color w:val="000000" w:themeColor="text1"/>
                <w:sz w:val="20"/>
                <w:szCs w:val="20"/>
                <w:lang w:val="en-US"/>
              </w:rPr>
            </w:pPr>
            <w:r w:rsidRPr="00521E46">
              <w:rPr>
                <w:rFonts w:ascii="Arial Narrow" w:hAnsi="Arial Narrow" w:cs="Arial"/>
                <w:b/>
                <w:color w:val="000000" w:themeColor="text1"/>
                <w:sz w:val="20"/>
                <w:szCs w:val="20"/>
                <w:lang w:val="en-US"/>
              </w:rPr>
              <w:t>mean norm. firefly activity</w:t>
            </w:r>
          </w:p>
        </w:tc>
        <w:tc>
          <w:tcPr>
            <w:tcW w:w="627" w:type="dxa"/>
            <w:tcBorders>
              <w:bottom w:val="single" w:sz="4" w:space="0" w:color="auto"/>
            </w:tcBorders>
            <w:shd w:val="clear" w:color="auto" w:fill="auto"/>
            <w:vAlign w:val="center"/>
          </w:tcPr>
          <w:p w:rsidR="0005049E" w:rsidRPr="00521E46" w:rsidRDefault="0005049E" w:rsidP="00D804D5">
            <w:pPr>
              <w:jc w:val="center"/>
              <w:rPr>
                <w:rFonts w:ascii="Arial Narrow" w:hAnsi="Arial Narrow" w:cs="Arial"/>
                <w:b/>
                <w:color w:val="000000" w:themeColor="text1"/>
                <w:sz w:val="20"/>
                <w:szCs w:val="20"/>
                <w:lang w:val="en-US"/>
              </w:rPr>
            </w:pPr>
            <w:r w:rsidRPr="00521E46">
              <w:rPr>
                <w:rFonts w:ascii="Arial Narrow" w:hAnsi="Arial Narrow" w:cs="Arial"/>
                <w:b/>
                <w:color w:val="000000" w:themeColor="text1"/>
                <w:sz w:val="20"/>
                <w:szCs w:val="20"/>
                <w:lang w:val="en-US"/>
              </w:rPr>
              <w:t>SEM</w:t>
            </w:r>
          </w:p>
        </w:tc>
        <w:tc>
          <w:tcPr>
            <w:tcW w:w="1539" w:type="dxa"/>
            <w:tcBorders>
              <w:bottom w:val="single" w:sz="4" w:space="0" w:color="auto"/>
            </w:tcBorders>
            <w:vAlign w:val="center"/>
          </w:tcPr>
          <w:p w:rsidR="0005049E" w:rsidRPr="00521E46" w:rsidRDefault="0005049E" w:rsidP="00D804D5">
            <w:pPr>
              <w:jc w:val="center"/>
              <w:rPr>
                <w:rFonts w:ascii="Arial Narrow" w:hAnsi="Arial Narrow" w:cs="Arial"/>
                <w:b/>
                <w:color w:val="000000" w:themeColor="text1"/>
                <w:sz w:val="20"/>
                <w:szCs w:val="20"/>
                <w:lang w:val="en-US"/>
              </w:rPr>
            </w:pPr>
            <w:r w:rsidRPr="00521E46">
              <w:rPr>
                <w:rFonts w:ascii="Arial Narrow" w:hAnsi="Arial Narrow" w:cs="Arial"/>
                <w:b/>
                <w:color w:val="000000" w:themeColor="text1"/>
                <w:sz w:val="20"/>
                <w:szCs w:val="20"/>
                <w:lang w:val="en-US"/>
              </w:rPr>
              <w:t>95% CI</w:t>
            </w:r>
          </w:p>
        </w:tc>
      </w:tr>
      <w:tr w:rsidR="0005049E" w:rsidRPr="00521E46" w:rsidTr="00D804D5">
        <w:trPr>
          <w:trHeight w:val="57"/>
        </w:trPr>
        <w:tc>
          <w:tcPr>
            <w:tcW w:w="1803" w:type="dxa"/>
            <w:tcBorders>
              <w:top w:val="single" w:sz="4" w:space="0" w:color="auto"/>
              <w:right w:val="single" w:sz="4" w:space="0" w:color="auto"/>
            </w:tcBorders>
            <w:shd w:val="clear" w:color="auto" w:fill="auto"/>
          </w:tcPr>
          <w:p w:rsidR="0005049E" w:rsidRPr="00521E46" w:rsidRDefault="0005049E" w:rsidP="00D804D5">
            <w:pPr>
              <w:rPr>
                <w:rFonts w:ascii="Arial Narrow" w:hAnsi="Arial Narrow" w:cs="Arial"/>
                <w:color w:val="000000" w:themeColor="text1"/>
                <w:sz w:val="20"/>
                <w:szCs w:val="20"/>
                <w:lang w:val="en-US"/>
              </w:rPr>
            </w:pPr>
            <w:r w:rsidRPr="00521E46">
              <w:rPr>
                <w:rFonts w:ascii="Arial Narrow" w:eastAsia="Times New Roman" w:hAnsi="Arial Narrow"/>
                <w:color w:val="000000" w:themeColor="text1"/>
                <w:sz w:val="20"/>
                <w:szCs w:val="20"/>
              </w:rPr>
              <w:t>hsa-miR-129-5p</w:t>
            </w:r>
          </w:p>
        </w:tc>
        <w:tc>
          <w:tcPr>
            <w:tcW w:w="1418" w:type="dxa"/>
            <w:tcBorders>
              <w:top w:val="single" w:sz="4" w:space="0" w:color="auto"/>
              <w:left w:val="single" w:sz="4" w:space="0" w:color="auto"/>
            </w:tcBorders>
            <w:shd w:val="clear" w:color="auto" w:fill="auto"/>
          </w:tcPr>
          <w:p w:rsidR="0005049E" w:rsidRPr="00521E46" w:rsidRDefault="0005049E" w:rsidP="00D804D5">
            <w:pPr>
              <w:jc w:val="center"/>
              <w:rPr>
                <w:rFonts w:ascii="Arial Narrow" w:hAnsi="Arial Narrow" w:cs="Arial"/>
                <w:color w:val="000000" w:themeColor="text1"/>
                <w:sz w:val="20"/>
                <w:szCs w:val="20"/>
                <w:lang w:val="en-US"/>
              </w:rPr>
            </w:pPr>
            <w:r w:rsidRPr="00521E46">
              <w:rPr>
                <w:rFonts w:ascii="Arial Narrow" w:eastAsia="Times New Roman" w:hAnsi="Arial Narrow"/>
                <w:color w:val="000000" w:themeColor="text1"/>
                <w:sz w:val="20"/>
                <w:szCs w:val="20"/>
              </w:rPr>
              <w:t>1.027</w:t>
            </w:r>
          </w:p>
        </w:tc>
        <w:tc>
          <w:tcPr>
            <w:tcW w:w="627" w:type="dxa"/>
            <w:tcBorders>
              <w:top w:val="single" w:sz="4" w:space="0" w:color="auto"/>
            </w:tcBorders>
            <w:shd w:val="clear" w:color="auto" w:fill="auto"/>
          </w:tcPr>
          <w:p w:rsidR="0005049E" w:rsidRPr="00521E46" w:rsidRDefault="0005049E" w:rsidP="00D804D5">
            <w:pPr>
              <w:jc w:val="center"/>
              <w:rPr>
                <w:rFonts w:ascii="Arial Narrow" w:hAnsi="Arial Narrow" w:cs="Arial"/>
                <w:color w:val="000000" w:themeColor="text1"/>
                <w:sz w:val="20"/>
                <w:szCs w:val="20"/>
                <w:lang w:val="en-US"/>
              </w:rPr>
            </w:pPr>
            <w:r w:rsidRPr="00521E46">
              <w:rPr>
                <w:rFonts w:ascii="Arial Narrow" w:eastAsia="Times New Roman" w:hAnsi="Arial Narrow"/>
                <w:color w:val="000000" w:themeColor="text1"/>
                <w:sz w:val="20"/>
                <w:szCs w:val="20"/>
              </w:rPr>
              <w:t>0.027</w:t>
            </w:r>
          </w:p>
        </w:tc>
        <w:tc>
          <w:tcPr>
            <w:tcW w:w="1539" w:type="dxa"/>
            <w:tcBorders>
              <w:top w:val="single" w:sz="4" w:space="0" w:color="auto"/>
            </w:tcBorders>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0.683 – 1.371</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hsa-miR-1303</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0.949</w:t>
            </w:r>
          </w:p>
        </w:tc>
        <w:tc>
          <w:tcPr>
            <w:tcW w:w="627" w:type="dxa"/>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0.007</w:t>
            </w:r>
          </w:p>
        </w:tc>
        <w:tc>
          <w:tcPr>
            <w:tcW w:w="1539" w:type="dxa"/>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0.920 – 0.978</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hsa-miR-146a-3p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0.997</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0.092</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0.703 – 1.290</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hsa-miR-198</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1.075</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0.069</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0.854 – 1.295</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hsa-miR-3155b</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1.039</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0.063</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0.863 – 1.215</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hsa-miR-3200-5p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0.976</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0.038</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0.853 – 1.098</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hsa-miR-330-5p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0.585</w:t>
            </w:r>
          </w:p>
        </w:tc>
        <w:tc>
          <w:tcPr>
            <w:tcW w:w="627" w:type="dxa"/>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0.039</w:t>
            </w:r>
          </w:p>
        </w:tc>
        <w:tc>
          <w:tcPr>
            <w:tcW w:w="1539" w:type="dxa"/>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0.488 – 0.681</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hsa-miR-361-5p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1,016</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0.085</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0.650 – 1.383</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hsa-miR-3616-3p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0.889</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0.093</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0.594 – 1.185</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hsa-miR-3619-5p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1.029</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0.106</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0.691 – 1.368</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hsa-miR-3622b-5p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0.831</w:t>
            </w:r>
          </w:p>
        </w:tc>
        <w:tc>
          <w:tcPr>
            <w:tcW w:w="627" w:type="dxa"/>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0.047</w:t>
            </w:r>
          </w:p>
        </w:tc>
        <w:tc>
          <w:tcPr>
            <w:tcW w:w="1539" w:type="dxa"/>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0.722 – 0.940</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hsa-miR-362-3p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1.029</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0.051</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0.866 – 1.193</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hsa-miR-3661</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0.996</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0.081</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0.738 – 1.254</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hsa-miR-3665</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0.991</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0.062</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0.793 – 1.188</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hsa-miR-3689a-3p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1.047</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0.080</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0.824 – 1.270</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hsa-miR-378g</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0.572</w:t>
            </w:r>
          </w:p>
        </w:tc>
        <w:tc>
          <w:tcPr>
            <w:tcW w:w="627" w:type="dxa"/>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0.015</w:t>
            </w:r>
          </w:p>
        </w:tc>
        <w:tc>
          <w:tcPr>
            <w:tcW w:w="1539" w:type="dxa"/>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0.539 – 0.606</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hsa-miR-3921</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0.830</w:t>
            </w:r>
          </w:p>
        </w:tc>
        <w:tc>
          <w:tcPr>
            <w:tcW w:w="627" w:type="dxa"/>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0.035</w:t>
            </w:r>
          </w:p>
        </w:tc>
        <w:tc>
          <w:tcPr>
            <w:tcW w:w="1539" w:type="dxa"/>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b/>
                <w:color w:val="000000" w:themeColor="text1"/>
                <w:sz w:val="20"/>
                <w:szCs w:val="20"/>
              </w:rPr>
              <w:t>0.720 – 0.940</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hsa-miR-3925-5p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1.154</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0.037</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0.995 – 1.313</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hsa-miR-3943</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0.833</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0.066</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0.624 – 1.042</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hsa-miR-4268</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0.917</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0.087</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0.639 – 1.195</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hsa-miR-4290</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0.983</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0.099</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0.668 – 1.298</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b/>
                <w:color w:val="000000" w:themeColor="text1"/>
                <w:sz w:val="20"/>
                <w:szCs w:val="20"/>
                <w:highlight w:val="yellow"/>
              </w:rPr>
            </w:pPr>
            <w:r w:rsidRPr="00521E46">
              <w:rPr>
                <w:rFonts w:ascii="Arial Narrow" w:eastAsia="Times New Roman" w:hAnsi="Arial Narrow"/>
                <w:color w:val="000000" w:themeColor="text1"/>
                <w:sz w:val="20"/>
                <w:szCs w:val="20"/>
              </w:rPr>
              <w:t>hsa-miR-4450</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highlight w:val="yellow"/>
              </w:rPr>
            </w:pPr>
            <w:r w:rsidRPr="00521E46">
              <w:rPr>
                <w:rFonts w:ascii="Arial Narrow" w:eastAsia="Times New Roman" w:hAnsi="Arial Narrow"/>
                <w:color w:val="000000" w:themeColor="text1"/>
                <w:sz w:val="20"/>
                <w:szCs w:val="20"/>
              </w:rPr>
              <w:t>0.976</w:t>
            </w:r>
          </w:p>
        </w:tc>
        <w:tc>
          <w:tcPr>
            <w:tcW w:w="627" w:type="dxa"/>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highlight w:val="yellow"/>
              </w:rPr>
            </w:pPr>
            <w:r w:rsidRPr="00521E46">
              <w:rPr>
                <w:rFonts w:ascii="Arial Narrow" w:eastAsia="Times New Roman" w:hAnsi="Arial Narrow"/>
                <w:color w:val="000000" w:themeColor="text1"/>
                <w:sz w:val="20"/>
                <w:szCs w:val="20"/>
              </w:rPr>
              <w:t>0.049</w:t>
            </w:r>
          </w:p>
        </w:tc>
        <w:tc>
          <w:tcPr>
            <w:tcW w:w="1539" w:type="dxa"/>
          </w:tcPr>
          <w:p w:rsidR="0005049E" w:rsidRPr="00521E46" w:rsidRDefault="0005049E" w:rsidP="00D804D5">
            <w:pPr>
              <w:jc w:val="center"/>
              <w:rPr>
                <w:rFonts w:ascii="Arial Narrow" w:eastAsia="Times New Roman" w:hAnsi="Arial Narrow"/>
                <w:b/>
                <w:color w:val="000000" w:themeColor="text1"/>
                <w:sz w:val="20"/>
                <w:szCs w:val="20"/>
                <w:highlight w:val="yellow"/>
              </w:rPr>
            </w:pPr>
            <w:r w:rsidRPr="00521E46">
              <w:rPr>
                <w:rFonts w:ascii="Arial Narrow" w:eastAsia="Times New Roman" w:hAnsi="Arial Narrow"/>
                <w:color w:val="000000" w:themeColor="text1"/>
                <w:sz w:val="20"/>
                <w:szCs w:val="20"/>
              </w:rPr>
              <w:t>0.821 – 1.131</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hsa-miR-4471</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0.949</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0.043</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0.811 – 1.088</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hsa-miR-4653-5p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0.913</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0.087</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0.636 – 1.190</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hsa-miR-4668-5p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0.815</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0.063</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0.614 – 1.016</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hsa-miR-4706</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0.942</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0.045</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0.797 – 1.087</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hsa-miR-4713-3p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0.896</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0.065</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0.690 – 1.102</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hsa-miR-4715-3p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0.758</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0.025</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0.701 – 0.815</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hsa-miR-4728-5p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0.973</w:t>
            </w:r>
          </w:p>
        </w:tc>
        <w:tc>
          <w:tcPr>
            <w:tcW w:w="627" w:type="dxa"/>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0.093</w:t>
            </w:r>
          </w:p>
        </w:tc>
        <w:tc>
          <w:tcPr>
            <w:tcW w:w="1539" w:type="dxa"/>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0.677 – 1.270</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hsa-miR-4733-5p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0.921</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0.043</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0.738 – 1.105</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hsa-miR-4749-5p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0.858</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0.062</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0.662 – 1.054</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hsa-miR-4773</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0.832</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0.057</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0.697 – 0.966</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hsa-miR-4778-5p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1.013</w:t>
            </w:r>
          </w:p>
        </w:tc>
        <w:tc>
          <w:tcPr>
            <w:tcW w:w="627" w:type="dxa"/>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0.056</w:t>
            </w:r>
          </w:p>
        </w:tc>
        <w:tc>
          <w:tcPr>
            <w:tcW w:w="1539" w:type="dxa"/>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0.835 – 1.191</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hsa-miR-4781-5p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0.590</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0.034</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0.510 – 0.670</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hsa-miR-4786-3p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0.989</w:t>
            </w:r>
          </w:p>
        </w:tc>
        <w:tc>
          <w:tcPr>
            <w:tcW w:w="627" w:type="dxa"/>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0.090</w:t>
            </w:r>
          </w:p>
        </w:tc>
        <w:tc>
          <w:tcPr>
            <w:tcW w:w="1539" w:type="dxa"/>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0.702 – 1.276</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hsa-miR-532-3p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0.839</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0.036</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0.750 – 0.928</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hsa-miR-548p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0.940</w:t>
            </w:r>
          </w:p>
        </w:tc>
        <w:tc>
          <w:tcPr>
            <w:tcW w:w="627" w:type="dxa"/>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0.046</w:t>
            </w:r>
          </w:p>
        </w:tc>
        <w:tc>
          <w:tcPr>
            <w:tcW w:w="1539" w:type="dxa"/>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0.793 – 1.087</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hsa-miR-579-3p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0.812</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0.037</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0.726 – 0.899</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hsa-miR-600</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1,002</w:t>
            </w:r>
          </w:p>
        </w:tc>
        <w:tc>
          <w:tcPr>
            <w:tcW w:w="627" w:type="dxa"/>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0.108</w:t>
            </w:r>
          </w:p>
        </w:tc>
        <w:tc>
          <w:tcPr>
            <w:tcW w:w="1539" w:type="dxa"/>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0.659 – 1.345</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hsa-miR-631</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0.852</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0.067</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0.638 – 1.067</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hsa-miR-664b-3p</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0.724</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0.039</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color w:val="000000" w:themeColor="text1"/>
                <w:sz w:val="20"/>
                <w:szCs w:val="20"/>
              </w:rPr>
              <w:t>0.599 – 0.848</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hsa-miR-718</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0.995</w:t>
            </w:r>
          </w:p>
        </w:tc>
        <w:tc>
          <w:tcPr>
            <w:tcW w:w="627" w:type="dxa"/>
            <w:shd w:val="clear" w:color="auto" w:fill="auto"/>
            <w:noWrap/>
            <w:hideMark/>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0.049</w:t>
            </w:r>
          </w:p>
        </w:tc>
        <w:tc>
          <w:tcPr>
            <w:tcW w:w="1539" w:type="dxa"/>
          </w:tcPr>
          <w:p w:rsidR="0005049E" w:rsidRPr="00521E46" w:rsidRDefault="0005049E" w:rsidP="00D804D5">
            <w:pPr>
              <w:jc w:val="center"/>
              <w:rPr>
                <w:rFonts w:ascii="Arial Narrow" w:eastAsia="Times New Roman" w:hAnsi="Arial Narrow"/>
                <w:b/>
                <w:color w:val="000000" w:themeColor="text1"/>
                <w:sz w:val="20"/>
                <w:szCs w:val="20"/>
              </w:rPr>
            </w:pPr>
            <w:r w:rsidRPr="00521E46">
              <w:rPr>
                <w:rFonts w:ascii="Arial Narrow" w:eastAsia="Times New Roman" w:hAnsi="Arial Narrow"/>
                <w:color w:val="000000" w:themeColor="text1"/>
                <w:sz w:val="20"/>
                <w:szCs w:val="20"/>
              </w:rPr>
              <w:t>0.838 – 1.152</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hsa-miR-761</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1.032</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0.037</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color w:val="000000" w:themeColor="text1"/>
                <w:sz w:val="20"/>
                <w:szCs w:val="20"/>
              </w:rPr>
              <w:t>0.913 – 1.151</w:t>
            </w:r>
          </w:p>
        </w:tc>
      </w:tr>
      <w:tr w:rsidR="0005049E" w:rsidRPr="00521E46" w:rsidTr="00D804D5">
        <w:trPr>
          <w:trHeight w:val="57"/>
        </w:trPr>
        <w:tc>
          <w:tcPr>
            <w:tcW w:w="1803" w:type="dxa"/>
            <w:tcBorders>
              <w:right w:val="single" w:sz="4" w:space="0" w:color="auto"/>
            </w:tcBorders>
            <w:shd w:val="clear" w:color="auto" w:fill="auto"/>
            <w:noWrap/>
            <w:hideMark/>
          </w:tcPr>
          <w:p w:rsidR="0005049E" w:rsidRPr="00521E46" w:rsidRDefault="0005049E" w:rsidP="00D804D5">
            <w:pPr>
              <w:rPr>
                <w:rFonts w:ascii="Arial Narrow" w:eastAsia="Times New Roman" w:hAnsi="Arial Narrow"/>
                <w:color w:val="000000" w:themeColor="text1"/>
                <w:sz w:val="20"/>
                <w:szCs w:val="20"/>
              </w:rPr>
            </w:pPr>
            <w:r w:rsidRPr="00521E46">
              <w:rPr>
                <w:rFonts w:ascii="Arial Narrow" w:eastAsia="Times New Roman" w:hAnsi="Arial Narrow"/>
                <w:b/>
                <w:i/>
                <w:color w:val="000000" w:themeColor="text1"/>
                <w:sz w:val="20"/>
                <w:szCs w:val="20"/>
              </w:rPr>
              <w:t>ath-miR-159a</w:t>
            </w:r>
          </w:p>
        </w:tc>
        <w:tc>
          <w:tcPr>
            <w:tcW w:w="1418" w:type="dxa"/>
            <w:tcBorders>
              <w:left w:val="single" w:sz="4" w:space="0" w:color="auto"/>
            </w:tcBorders>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i/>
                <w:color w:val="000000" w:themeColor="text1"/>
                <w:sz w:val="20"/>
                <w:szCs w:val="20"/>
              </w:rPr>
              <w:t>1.040</w:t>
            </w:r>
          </w:p>
        </w:tc>
        <w:tc>
          <w:tcPr>
            <w:tcW w:w="627" w:type="dxa"/>
            <w:shd w:val="clear" w:color="auto" w:fill="auto"/>
            <w:noWrap/>
            <w:hideMark/>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i/>
                <w:color w:val="000000" w:themeColor="text1"/>
                <w:sz w:val="20"/>
                <w:szCs w:val="20"/>
              </w:rPr>
              <w:t>0.027</w:t>
            </w:r>
          </w:p>
        </w:tc>
        <w:tc>
          <w:tcPr>
            <w:tcW w:w="1539" w:type="dxa"/>
          </w:tcPr>
          <w:p w:rsidR="0005049E" w:rsidRPr="00521E46" w:rsidRDefault="0005049E" w:rsidP="00D804D5">
            <w:pPr>
              <w:jc w:val="center"/>
              <w:rPr>
                <w:rFonts w:ascii="Arial Narrow" w:eastAsia="Times New Roman" w:hAnsi="Arial Narrow"/>
                <w:color w:val="000000" w:themeColor="text1"/>
                <w:sz w:val="20"/>
                <w:szCs w:val="20"/>
              </w:rPr>
            </w:pPr>
            <w:r w:rsidRPr="00521E46">
              <w:rPr>
                <w:rFonts w:ascii="Arial Narrow" w:eastAsia="Times New Roman" w:hAnsi="Arial Narrow"/>
                <w:b/>
                <w:i/>
                <w:color w:val="000000" w:themeColor="text1"/>
                <w:sz w:val="20"/>
                <w:szCs w:val="20"/>
              </w:rPr>
              <w:t>0.982 – 1.097</w:t>
            </w:r>
          </w:p>
        </w:tc>
      </w:tr>
      <w:tr w:rsidR="0005049E" w:rsidRPr="00521E46" w:rsidTr="00D804D5">
        <w:trPr>
          <w:trHeight w:val="57"/>
        </w:trPr>
        <w:tc>
          <w:tcPr>
            <w:tcW w:w="1803" w:type="dxa"/>
            <w:tcBorders>
              <w:right w:val="single" w:sz="4" w:space="0" w:color="auto"/>
            </w:tcBorders>
            <w:shd w:val="clear" w:color="auto" w:fill="auto"/>
            <w:noWrap/>
          </w:tcPr>
          <w:p w:rsidR="0005049E" w:rsidRPr="00521E46" w:rsidRDefault="0005049E" w:rsidP="00D804D5">
            <w:pPr>
              <w:rPr>
                <w:rFonts w:ascii="Arial Narrow" w:eastAsia="Times New Roman" w:hAnsi="Arial Narrow"/>
                <w:b/>
                <w:i/>
                <w:color w:val="000000" w:themeColor="text1"/>
                <w:sz w:val="20"/>
                <w:szCs w:val="20"/>
              </w:rPr>
            </w:pPr>
          </w:p>
        </w:tc>
        <w:tc>
          <w:tcPr>
            <w:tcW w:w="1418" w:type="dxa"/>
            <w:tcBorders>
              <w:left w:val="single" w:sz="4" w:space="0" w:color="auto"/>
            </w:tcBorders>
            <w:shd w:val="clear" w:color="auto" w:fill="auto"/>
            <w:noWrap/>
          </w:tcPr>
          <w:p w:rsidR="0005049E" w:rsidRPr="00521E46" w:rsidRDefault="0005049E" w:rsidP="00D804D5">
            <w:pPr>
              <w:jc w:val="center"/>
              <w:rPr>
                <w:rFonts w:ascii="Arial Narrow" w:eastAsia="Times New Roman" w:hAnsi="Arial Narrow"/>
                <w:b/>
                <w:i/>
                <w:color w:val="000000" w:themeColor="text1"/>
                <w:sz w:val="20"/>
                <w:szCs w:val="20"/>
              </w:rPr>
            </w:pPr>
          </w:p>
        </w:tc>
        <w:tc>
          <w:tcPr>
            <w:tcW w:w="627" w:type="dxa"/>
            <w:shd w:val="clear" w:color="auto" w:fill="auto"/>
            <w:noWrap/>
          </w:tcPr>
          <w:p w:rsidR="0005049E" w:rsidRPr="00521E46" w:rsidRDefault="0005049E" w:rsidP="00D804D5">
            <w:pPr>
              <w:jc w:val="center"/>
              <w:rPr>
                <w:rFonts w:ascii="Arial Narrow" w:eastAsia="Times New Roman" w:hAnsi="Arial Narrow"/>
                <w:b/>
                <w:i/>
                <w:color w:val="000000" w:themeColor="text1"/>
                <w:sz w:val="20"/>
                <w:szCs w:val="20"/>
              </w:rPr>
            </w:pPr>
          </w:p>
        </w:tc>
        <w:tc>
          <w:tcPr>
            <w:tcW w:w="1539" w:type="dxa"/>
          </w:tcPr>
          <w:p w:rsidR="0005049E" w:rsidRPr="00521E46" w:rsidRDefault="0005049E" w:rsidP="00D804D5">
            <w:pPr>
              <w:jc w:val="center"/>
              <w:rPr>
                <w:rFonts w:ascii="Arial Narrow" w:eastAsia="Times New Roman" w:hAnsi="Arial Narrow"/>
                <w:b/>
                <w:i/>
                <w:color w:val="000000" w:themeColor="text1"/>
                <w:sz w:val="20"/>
                <w:szCs w:val="20"/>
              </w:rPr>
            </w:pPr>
          </w:p>
        </w:tc>
      </w:tr>
    </w:tbl>
    <w:p w:rsidR="0005049E" w:rsidRPr="00521E46" w:rsidRDefault="0005049E" w:rsidP="0005049E">
      <w:pPr>
        <w:rPr>
          <w:color w:val="000000" w:themeColor="text1"/>
          <w:lang w:val="en-US"/>
        </w:rPr>
      </w:pPr>
    </w:p>
    <w:p w:rsidR="0005049E" w:rsidRPr="00521E46" w:rsidRDefault="0005049E" w:rsidP="0005049E">
      <w:pPr>
        <w:rPr>
          <w:color w:val="000000" w:themeColor="text1"/>
          <w:lang w:val="en-US"/>
        </w:rPr>
      </w:pPr>
    </w:p>
    <w:p w:rsidR="0005049E" w:rsidRPr="00521E46" w:rsidRDefault="0005049E" w:rsidP="0005049E">
      <w:pPr>
        <w:spacing w:before="120" w:after="120"/>
        <w:jc w:val="both"/>
        <w:rPr>
          <w:rFonts w:ascii="Arial" w:hAnsi="Arial" w:cs="Arial"/>
          <w:color w:val="000000" w:themeColor="text1"/>
          <w:lang w:val="en-US"/>
        </w:rPr>
      </w:pPr>
      <w:r w:rsidRPr="00521E46">
        <w:rPr>
          <w:rFonts w:ascii="Arial" w:hAnsi="Arial" w:cs="Arial"/>
          <w:b/>
          <w:color w:val="000000" w:themeColor="text1"/>
          <w:lang w:val="en-US"/>
        </w:rPr>
        <w:lastRenderedPageBreak/>
        <w:t>Supplementary Table 3.</w:t>
      </w:r>
      <w:r w:rsidRPr="00521E46">
        <w:rPr>
          <w:rFonts w:ascii="Arial" w:hAnsi="Arial" w:cs="Arial"/>
          <w:color w:val="000000" w:themeColor="text1"/>
          <w:lang w:val="en-US"/>
        </w:rPr>
        <w:t xml:space="preserve"> </w:t>
      </w:r>
      <w:r w:rsidRPr="00521E46">
        <w:rPr>
          <w:rFonts w:ascii="Arial" w:hAnsi="Arial" w:cs="Arial"/>
          <w:b/>
          <w:color w:val="000000" w:themeColor="text1"/>
          <w:lang w:val="en-US"/>
        </w:rPr>
        <w:t>Estimation of variance explained by rs2910931</w:t>
      </w:r>
      <w:r w:rsidRPr="00521E46">
        <w:rPr>
          <w:rFonts w:ascii="Arial" w:hAnsi="Arial" w:cs="Arial"/>
          <w:color w:val="000000" w:themeColor="text1"/>
          <w:lang w:val="en-US"/>
        </w:rPr>
        <w:t>.</w:t>
      </w:r>
      <w:r w:rsidRPr="00521E46">
        <w:rPr>
          <w:color w:val="000000" w:themeColor="text1"/>
          <w:lang w:val="en-US"/>
        </w:rPr>
        <w:t xml:space="preserve"> </w:t>
      </w:r>
      <w:r w:rsidRPr="00521E46">
        <w:rPr>
          <w:rFonts w:ascii="Arial" w:hAnsi="Arial" w:cs="Arial"/>
          <w:color w:val="000000" w:themeColor="text1"/>
          <w:lang w:val="en-US"/>
        </w:rPr>
        <w:t>Proportions of variance explained by rs2910931 in the case-control, ASI and ACQ sample were estimated with the GCTA software (http://cnsgenomics.com/software/gcta.html), using the Restricted Maximum Likelihood procedure. V</w:t>
      </w:r>
      <w:r w:rsidRPr="00521E46">
        <w:rPr>
          <w:rFonts w:ascii="Arial" w:hAnsi="Arial" w:cs="Arial"/>
          <w:color w:val="000000" w:themeColor="text1"/>
          <w:vertAlign w:val="subscript"/>
          <w:lang w:val="en-US"/>
        </w:rPr>
        <w:t>(G)</w:t>
      </w:r>
      <w:r w:rsidRPr="00521E46">
        <w:rPr>
          <w:rFonts w:ascii="Arial" w:hAnsi="Arial" w:cs="Arial"/>
          <w:color w:val="000000" w:themeColor="text1"/>
          <w:lang w:val="en-US"/>
        </w:rPr>
        <w:t xml:space="preserve"> indicates estimates of genotypic variance, </w:t>
      </w:r>
      <w:proofErr w:type="spellStart"/>
      <w:r w:rsidRPr="00521E46">
        <w:rPr>
          <w:rFonts w:ascii="Arial" w:hAnsi="Arial" w:cs="Arial"/>
          <w:color w:val="000000" w:themeColor="text1"/>
          <w:lang w:val="en-US"/>
        </w:rPr>
        <w:t>V</w:t>
      </w:r>
      <w:r w:rsidRPr="00521E46">
        <w:rPr>
          <w:rFonts w:ascii="Arial" w:hAnsi="Arial" w:cs="Arial"/>
          <w:color w:val="000000" w:themeColor="text1"/>
          <w:vertAlign w:val="subscript"/>
          <w:lang w:val="en-US"/>
        </w:rPr>
        <w:t>p</w:t>
      </w:r>
      <w:proofErr w:type="spellEnd"/>
      <w:r w:rsidRPr="00521E46">
        <w:rPr>
          <w:rFonts w:ascii="Arial" w:hAnsi="Arial" w:cs="Arial"/>
          <w:color w:val="000000" w:themeColor="text1"/>
          <w:lang w:val="en-US"/>
        </w:rPr>
        <w:t xml:space="preserve"> indicates estimates of phenotypic variance, V</w:t>
      </w:r>
      <w:r w:rsidRPr="00521E46">
        <w:rPr>
          <w:rFonts w:ascii="Arial" w:hAnsi="Arial" w:cs="Arial"/>
          <w:color w:val="000000" w:themeColor="text1"/>
          <w:vertAlign w:val="subscript"/>
          <w:lang w:val="en-US"/>
        </w:rPr>
        <w:t>(G)</w:t>
      </w:r>
      <w:r w:rsidRPr="00521E46">
        <w:rPr>
          <w:rFonts w:ascii="Arial" w:hAnsi="Arial" w:cs="Arial"/>
          <w:color w:val="000000" w:themeColor="text1"/>
          <w:lang w:val="en-US"/>
        </w:rPr>
        <w:t>/</w:t>
      </w:r>
      <w:proofErr w:type="spellStart"/>
      <w:r w:rsidRPr="00521E46">
        <w:rPr>
          <w:rFonts w:ascii="Arial" w:hAnsi="Arial" w:cs="Arial"/>
          <w:color w:val="000000" w:themeColor="text1"/>
          <w:lang w:val="en-US"/>
        </w:rPr>
        <w:t>V</w:t>
      </w:r>
      <w:r w:rsidRPr="00521E46">
        <w:rPr>
          <w:rFonts w:ascii="Arial" w:hAnsi="Arial" w:cs="Arial"/>
          <w:color w:val="000000" w:themeColor="text1"/>
          <w:vertAlign w:val="subscript"/>
          <w:lang w:val="en-US"/>
        </w:rPr>
        <w:t>p</w:t>
      </w:r>
      <w:proofErr w:type="spellEnd"/>
      <w:r w:rsidRPr="00521E46">
        <w:rPr>
          <w:rFonts w:ascii="Arial" w:hAnsi="Arial" w:cs="Arial"/>
          <w:color w:val="000000" w:themeColor="text1"/>
          <w:lang w:val="en-US"/>
        </w:rPr>
        <w:t xml:space="preserve"> is the proportion of phenotypic variance explained by the significant SNP, </w:t>
      </w:r>
      <w:proofErr w:type="spellStart"/>
      <w:r w:rsidRPr="00521E46">
        <w:rPr>
          <w:rFonts w:ascii="Arial" w:hAnsi="Arial" w:cs="Arial"/>
          <w:color w:val="000000" w:themeColor="text1"/>
          <w:lang w:val="en-US"/>
        </w:rPr>
        <w:t>logL</w:t>
      </w:r>
      <w:proofErr w:type="spellEnd"/>
      <w:r w:rsidRPr="00521E46">
        <w:rPr>
          <w:rFonts w:ascii="Arial" w:hAnsi="Arial" w:cs="Arial"/>
          <w:color w:val="000000" w:themeColor="text1"/>
          <w:lang w:val="en-US"/>
        </w:rPr>
        <w:t xml:space="preserve"> indicates the log-likelihood under the null hypothesis, logL0 the log-likelihood under the alternative hypothesis, LRT indicates the log-likelihood ratio test statistic.</w:t>
      </w:r>
    </w:p>
    <w:p w:rsidR="0005049E" w:rsidRPr="00521E46" w:rsidRDefault="0005049E" w:rsidP="0005049E">
      <w:pPr>
        <w:spacing w:before="120" w:after="120"/>
        <w:rPr>
          <w:rFonts w:ascii="Arial" w:hAnsi="Arial" w:cs="Arial"/>
          <w:color w:val="000000" w:themeColor="text1"/>
          <w:lang w:val="en-US"/>
        </w:rPr>
      </w:pPr>
    </w:p>
    <w:tbl>
      <w:tblPr>
        <w:tblW w:w="8333" w:type="dxa"/>
        <w:tblInd w:w="55" w:type="dxa"/>
        <w:tblCellMar>
          <w:left w:w="70" w:type="dxa"/>
          <w:right w:w="70" w:type="dxa"/>
        </w:tblCellMar>
        <w:tblLook w:val="04A0" w:firstRow="1" w:lastRow="0" w:firstColumn="1" w:lastColumn="0" w:noHBand="0" w:noVBand="1"/>
      </w:tblPr>
      <w:tblGrid>
        <w:gridCol w:w="1500"/>
        <w:gridCol w:w="1350"/>
        <w:gridCol w:w="1348"/>
        <w:gridCol w:w="1276"/>
        <w:gridCol w:w="850"/>
        <w:gridCol w:w="851"/>
        <w:gridCol w:w="460"/>
        <w:gridCol w:w="816"/>
      </w:tblGrid>
      <w:tr w:rsidR="0005049E" w:rsidRPr="00521E46" w:rsidTr="00D804D5">
        <w:trPr>
          <w:trHeight w:val="312"/>
        </w:trPr>
        <w:tc>
          <w:tcPr>
            <w:tcW w:w="1500" w:type="dxa"/>
            <w:tcBorders>
              <w:top w:val="single" w:sz="8" w:space="0" w:color="auto"/>
              <w:left w:val="nil"/>
              <w:bottom w:val="double" w:sz="6" w:space="0" w:color="auto"/>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bCs/>
                <w:color w:val="000000" w:themeColor="text1"/>
                <w:sz w:val="20"/>
                <w:szCs w:val="20"/>
                <w:lang w:val="en-US"/>
              </w:rPr>
            </w:pPr>
            <w:r w:rsidRPr="00521E46">
              <w:rPr>
                <w:rFonts w:ascii="Arial Narrow" w:hAnsi="Arial Narrow" w:cs="Arial"/>
                <w:bCs/>
                <w:color w:val="000000" w:themeColor="text1"/>
                <w:sz w:val="20"/>
                <w:szCs w:val="20"/>
                <w:lang w:val="en-US"/>
              </w:rPr>
              <w:t> </w:t>
            </w:r>
          </w:p>
        </w:tc>
        <w:tc>
          <w:tcPr>
            <w:tcW w:w="1350" w:type="dxa"/>
            <w:tcBorders>
              <w:top w:val="single" w:sz="8" w:space="0" w:color="auto"/>
              <w:left w:val="nil"/>
              <w:bottom w:val="double" w:sz="6" w:space="0" w:color="auto"/>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bCs/>
                <w:color w:val="000000" w:themeColor="text1"/>
                <w:sz w:val="20"/>
                <w:szCs w:val="20"/>
              </w:rPr>
            </w:pPr>
            <w:r w:rsidRPr="00521E46">
              <w:rPr>
                <w:rFonts w:ascii="Arial Narrow" w:hAnsi="Arial Narrow" w:cs="Arial"/>
                <w:bCs/>
                <w:color w:val="000000" w:themeColor="text1"/>
                <w:sz w:val="20"/>
                <w:szCs w:val="20"/>
              </w:rPr>
              <w:t>V</w:t>
            </w:r>
            <w:r w:rsidRPr="00521E46">
              <w:rPr>
                <w:rFonts w:ascii="Arial Narrow" w:hAnsi="Arial Narrow" w:cs="Arial"/>
                <w:bCs/>
                <w:color w:val="000000" w:themeColor="text1"/>
                <w:sz w:val="20"/>
                <w:szCs w:val="20"/>
                <w:vertAlign w:val="subscript"/>
              </w:rPr>
              <w:t>(G)</w:t>
            </w:r>
            <w:r w:rsidRPr="00521E46">
              <w:rPr>
                <w:rFonts w:ascii="Arial Narrow" w:hAnsi="Arial Narrow" w:cs="Arial"/>
                <w:bCs/>
                <w:color w:val="000000" w:themeColor="text1"/>
                <w:sz w:val="20"/>
                <w:szCs w:val="20"/>
              </w:rPr>
              <w:t xml:space="preserve"> (</w:t>
            </w:r>
            <w:proofErr w:type="spellStart"/>
            <w:r w:rsidRPr="00521E46">
              <w:rPr>
                <w:rFonts w:ascii="Arial Narrow" w:hAnsi="Arial Narrow" w:cs="Arial"/>
                <w:bCs/>
                <w:color w:val="000000" w:themeColor="text1"/>
                <w:sz w:val="20"/>
                <w:szCs w:val="20"/>
              </w:rPr>
              <w:t>s.e</w:t>
            </w:r>
            <w:proofErr w:type="spellEnd"/>
            <w:r w:rsidRPr="00521E46">
              <w:rPr>
                <w:rFonts w:ascii="Arial Narrow" w:hAnsi="Arial Narrow" w:cs="Arial"/>
                <w:bCs/>
                <w:color w:val="000000" w:themeColor="text1"/>
                <w:sz w:val="20"/>
                <w:szCs w:val="20"/>
              </w:rPr>
              <w:t>.)</w:t>
            </w:r>
          </w:p>
        </w:tc>
        <w:tc>
          <w:tcPr>
            <w:tcW w:w="1348" w:type="dxa"/>
            <w:tcBorders>
              <w:top w:val="single" w:sz="8" w:space="0" w:color="auto"/>
              <w:left w:val="nil"/>
              <w:bottom w:val="double" w:sz="6" w:space="0" w:color="auto"/>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bCs/>
                <w:color w:val="000000" w:themeColor="text1"/>
                <w:sz w:val="20"/>
                <w:szCs w:val="20"/>
              </w:rPr>
            </w:pPr>
            <w:proofErr w:type="spellStart"/>
            <w:r w:rsidRPr="00521E46">
              <w:rPr>
                <w:rFonts w:ascii="Arial Narrow" w:hAnsi="Arial Narrow" w:cs="Arial"/>
                <w:bCs/>
                <w:color w:val="000000" w:themeColor="text1"/>
                <w:sz w:val="20"/>
                <w:szCs w:val="20"/>
              </w:rPr>
              <w:t>V</w:t>
            </w:r>
            <w:r w:rsidRPr="00521E46">
              <w:rPr>
                <w:rFonts w:ascii="Arial Narrow" w:hAnsi="Arial Narrow" w:cs="Arial"/>
                <w:bCs/>
                <w:color w:val="000000" w:themeColor="text1"/>
                <w:sz w:val="20"/>
                <w:szCs w:val="20"/>
                <w:vertAlign w:val="subscript"/>
              </w:rPr>
              <w:t>p</w:t>
            </w:r>
            <w:proofErr w:type="spellEnd"/>
            <w:r w:rsidRPr="00521E46">
              <w:rPr>
                <w:rFonts w:ascii="Arial Narrow" w:hAnsi="Arial Narrow" w:cs="Arial"/>
                <w:bCs/>
                <w:color w:val="000000" w:themeColor="text1"/>
                <w:sz w:val="20"/>
                <w:szCs w:val="20"/>
              </w:rPr>
              <w:t xml:space="preserve"> (</w:t>
            </w:r>
            <w:proofErr w:type="spellStart"/>
            <w:r w:rsidRPr="00521E46">
              <w:rPr>
                <w:rFonts w:ascii="Arial Narrow" w:hAnsi="Arial Narrow" w:cs="Arial"/>
                <w:bCs/>
                <w:color w:val="000000" w:themeColor="text1"/>
                <w:sz w:val="20"/>
                <w:szCs w:val="20"/>
              </w:rPr>
              <w:t>s.e</w:t>
            </w:r>
            <w:proofErr w:type="spellEnd"/>
            <w:r w:rsidRPr="00521E46">
              <w:rPr>
                <w:rFonts w:ascii="Arial Narrow" w:hAnsi="Arial Narrow" w:cs="Arial"/>
                <w:bCs/>
                <w:color w:val="000000" w:themeColor="text1"/>
                <w:sz w:val="20"/>
                <w:szCs w:val="20"/>
              </w:rPr>
              <w:t>.)</w:t>
            </w:r>
          </w:p>
        </w:tc>
        <w:tc>
          <w:tcPr>
            <w:tcW w:w="1276" w:type="dxa"/>
            <w:tcBorders>
              <w:top w:val="single" w:sz="8" w:space="0" w:color="auto"/>
              <w:left w:val="nil"/>
              <w:bottom w:val="double" w:sz="6" w:space="0" w:color="auto"/>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bCs/>
                <w:color w:val="000000" w:themeColor="text1"/>
                <w:sz w:val="20"/>
                <w:szCs w:val="20"/>
              </w:rPr>
            </w:pPr>
            <w:r w:rsidRPr="00521E46">
              <w:rPr>
                <w:rFonts w:ascii="Arial Narrow" w:hAnsi="Arial Narrow" w:cs="Arial"/>
                <w:bCs/>
                <w:color w:val="000000" w:themeColor="text1"/>
                <w:sz w:val="20"/>
                <w:szCs w:val="20"/>
              </w:rPr>
              <w:t>V</w:t>
            </w:r>
            <w:r w:rsidRPr="00521E46">
              <w:rPr>
                <w:rFonts w:ascii="Arial Narrow" w:hAnsi="Arial Narrow" w:cs="Arial"/>
                <w:bCs/>
                <w:color w:val="000000" w:themeColor="text1"/>
                <w:sz w:val="20"/>
                <w:szCs w:val="20"/>
                <w:vertAlign w:val="subscript"/>
              </w:rPr>
              <w:t>(G)</w:t>
            </w:r>
            <w:r w:rsidRPr="00521E46">
              <w:rPr>
                <w:rFonts w:ascii="Arial Narrow" w:hAnsi="Arial Narrow" w:cs="Arial"/>
                <w:bCs/>
                <w:color w:val="000000" w:themeColor="text1"/>
                <w:sz w:val="20"/>
                <w:szCs w:val="20"/>
              </w:rPr>
              <w:t>/</w:t>
            </w:r>
            <w:proofErr w:type="spellStart"/>
            <w:r w:rsidRPr="00521E46">
              <w:rPr>
                <w:rFonts w:ascii="Arial Narrow" w:hAnsi="Arial Narrow" w:cs="Arial"/>
                <w:bCs/>
                <w:color w:val="000000" w:themeColor="text1"/>
                <w:sz w:val="20"/>
                <w:szCs w:val="20"/>
              </w:rPr>
              <w:t>V</w:t>
            </w:r>
            <w:r w:rsidRPr="00521E46">
              <w:rPr>
                <w:rFonts w:ascii="Arial Narrow" w:hAnsi="Arial Narrow" w:cs="Arial"/>
                <w:bCs/>
                <w:color w:val="000000" w:themeColor="text1"/>
                <w:sz w:val="20"/>
                <w:szCs w:val="20"/>
                <w:vertAlign w:val="subscript"/>
              </w:rPr>
              <w:t>p</w:t>
            </w:r>
            <w:proofErr w:type="spellEnd"/>
            <w:r w:rsidRPr="00521E46">
              <w:rPr>
                <w:rFonts w:ascii="Arial Narrow" w:hAnsi="Arial Narrow" w:cs="Arial"/>
                <w:bCs/>
                <w:color w:val="000000" w:themeColor="text1"/>
                <w:sz w:val="20"/>
                <w:szCs w:val="20"/>
                <w:vertAlign w:val="subscript"/>
              </w:rPr>
              <w:t xml:space="preserve"> </w:t>
            </w:r>
            <w:r w:rsidRPr="00521E46">
              <w:rPr>
                <w:rFonts w:ascii="Arial Narrow" w:hAnsi="Arial Narrow" w:cs="Arial"/>
                <w:bCs/>
                <w:color w:val="000000" w:themeColor="text1"/>
                <w:sz w:val="20"/>
                <w:szCs w:val="20"/>
              </w:rPr>
              <w:t>(</w:t>
            </w:r>
            <w:proofErr w:type="spellStart"/>
            <w:r w:rsidRPr="00521E46">
              <w:rPr>
                <w:rFonts w:ascii="Arial Narrow" w:hAnsi="Arial Narrow" w:cs="Arial"/>
                <w:bCs/>
                <w:color w:val="000000" w:themeColor="text1"/>
                <w:sz w:val="20"/>
                <w:szCs w:val="20"/>
              </w:rPr>
              <w:t>s.e</w:t>
            </w:r>
            <w:proofErr w:type="spellEnd"/>
            <w:r w:rsidRPr="00521E46">
              <w:rPr>
                <w:rFonts w:ascii="Arial Narrow" w:hAnsi="Arial Narrow" w:cs="Arial"/>
                <w:bCs/>
                <w:color w:val="000000" w:themeColor="text1"/>
                <w:sz w:val="20"/>
                <w:szCs w:val="20"/>
              </w:rPr>
              <w:t>.)</w:t>
            </w:r>
          </w:p>
        </w:tc>
        <w:tc>
          <w:tcPr>
            <w:tcW w:w="850" w:type="dxa"/>
            <w:tcBorders>
              <w:top w:val="single" w:sz="8" w:space="0" w:color="auto"/>
              <w:left w:val="nil"/>
              <w:bottom w:val="double" w:sz="6" w:space="0" w:color="auto"/>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bCs/>
                <w:color w:val="000000" w:themeColor="text1"/>
                <w:sz w:val="20"/>
                <w:szCs w:val="20"/>
              </w:rPr>
            </w:pPr>
            <w:proofErr w:type="spellStart"/>
            <w:r w:rsidRPr="00521E46">
              <w:rPr>
                <w:rFonts w:ascii="Arial Narrow" w:hAnsi="Arial Narrow" w:cs="Arial"/>
                <w:bCs/>
                <w:color w:val="000000" w:themeColor="text1"/>
                <w:sz w:val="20"/>
                <w:szCs w:val="20"/>
              </w:rPr>
              <w:t>logL</w:t>
            </w:r>
            <w:proofErr w:type="spellEnd"/>
          </w:p>
        </w:tc>
        <w:tc>
          <w:tcPr>
            <w:tcW w:w="851" w:type="dxa"/>
            <w:tcBorders>
              <w:top w:val="single" w:sz="8" w:space="0" w:color="auto"/>
              <w:left w:val="nil"/>
              <w:bottom w:val="double" w:sz="6" w:space="0" w:color="auto"/>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bCs/>
                <w:color w:val="000000" w:themeColor="text1"/>
                <w:sz w:val="20"/>
                <w:szCs w:val="20"/>
              </w:rPr>
            </w:pPr>
            <w:r w:rsidRPr="00521E46">
              <w:rPr>
                <w:rFonts w:ascii="Arial Narrow" w:hAnsi="Arial Narrow" w:cs="Arial"/>
                <w:bCs/>
                <w:color w:val="000000" w:themeColor="text1"/>
                <w:sz w:val="20"/>
                <w:szCs w:val="20"/>
              </w:rPr>
              <w:t>logL0</w:t>
            </w:r>
          </w:p>
        </w:tc>
        <w:tc>
          <w:tcPr>
            <w:tcW w:w="342" w:type="dxa"/>
            <w:tcBorders>
              <w:top w:val="single" w:sz="8" w:space="0" w:color="auto"/>
              <w:left w:val="nil"/>
              <w:bottom w:val="double" w:sz="6" w:space="0" w:color="auto"/>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bCs/>
                <w:color w:val="000000" w:themeColor="text1"/>
                <w:sz w:val="20"/>
                <w:szCs w:val="20"/>
              </w:rPr>
            </w:pPr>
            <w:r w:rsidRPr="00521E46">
              <w:rPr>
                <w:rFonts w:ascii="Arial Narrow" w:hAnsi="Arial Narrow" w:cs="Arial"/>
                <w:bCs/>
                <w:color w:val="000000" w:themeColor="text1"/>
                <w:sz w:val="20"/>
                <w:szCs w:val="20"/>
              </w:rPr>
              <w:t>LRT</w:t>
            </w:r>
          </w:p>
        </w:tc>
        <w:tc>
          <w:tcPr>
            <w:tcW w:w="816" w:type="dxa"/>
            <w:tcBorders>
              <w:top w:val="single" w:sz="8" w:space="0" w:color="auto"/>
              <w:left w:val="nil"/>
              <w:bottom w:val="double" w:sz="6" w:space="0" w:color="auto"/>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bCs/>
                <w:color w:val="000000" w:themeColor="text1"/>
                <w:sz w:val="20"/>
                <w:szCs w:val="20"/>
              </w:rPr>
            </w:pPr>
            <w:r w:rsidRPr="00521E46">
              <w:rPr>
                <w:rFonts w:ascii="Arial Narrow" w:hAnsi="Arial Narrow" w:cs="Arial"/>
                <w:bCs/>
                <w:color w:val="000000" w:themeColor="text1"/>
                <w:sz w:val="20"/>
                <w:szCs w:val="20"/>
              </w:rPr>
              <w:t>P-</w:t>
            </w:r>
            <w:proofErr w:type="spellStart"/>
            <w:r w:rsidRPr="00521E46">
              <w:rPr>
                <w:rFonts w:ascii="Arial Narrow" w:hAnsi="Arial Narrow" w:cs="Arial"/>
                <w:bCs/>
                <w:color w:val="000000" w:themeColor="text1"/>
                <w:sz w:val="20"/>
                <w:szCs w:val="20"/>
              </w:rPr>
              <w:t>value</w:t>
            </w:r>
            <w:proofErr w:type="spellEnd"/>
          </w:p>
        </w:tc>
      </w:tr>
      <w:tr w:rsidR="0005049E" w:rsidRPr="00521E46" w:rsidTr="00D804D5">
        <w:trPr>
          <w:trHeight w:val="300"/>
        </w:trPr>
        <w:tc>
          <w:tcPr>
            <w:tcW w:w="8333" w:type="dxa"/>
            <w:gridSpan w:val="8"/>
            <w:tcBorders>
              <w:top w:val="nil"/>
              <w:left w:val="nil"/>
              <w:bottom w:val="nil"/>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bCs/>
                <w:iCs/>
                <w:color w:val="000000" w:themeColor="text1"/>
                <w:sz w:val="20"/>
                <w:szCs w:val="20"/>
              </w:rPr>
            </w:pPr>
            <w:r w:rsidRPr="00521E46">
              <w:rPr>
                <w:rFonts w:ascii="Arial Narrow" w:hAnsi="Arial Narrow" w:cs="Arial"/>
                <w:bCs/>
                <w:iCs/>
                <w:color w:val="000000" w:themeColor="text1"/>
                <w:sz w:val="20"/>
                <w:szCs w:val="20"/>
              </w:rPr>
              <w:t>Case-</w:t>
            </w:r>
            <w:proofErr w:type="spellStart"/>
            <w:r w:rsidRPr="00521E46">
              <w:rPr>
                <w:rFonts w:ascii="Arial Narrow" w:hAnsi="Arial Narrow" w:cs="Arial"/>
                <w:bCs/>
                <w:iCs/>
                <w:color w:val="000000" w:themeColor="text1"/>
                <w:sz w:val="20"/>
                <w:szCs w:val="20"/>
              </w:rPr>
              <w:t>control</w:t>
            </w:r>
            <w:proofErr w:type="spellEnd"/>
            <w:r w:rsidRPr="00521E46">
              <w:rPr>
                <w:rFonts w:ascii="Arial Narrow" w:hAnsi="Arial Narrow" w:cs="Arial"/>
                <w:bCs/>
                <w:iCs/>
                <w:color w:val="000000" w:themeColor="text1"/>
                <w:sz w:val="20"/>
                <w:szCs w:val="20"/>
              </w:rPr>
              <w:t xml:space="preserve"> sample (N=1012)</w:t>
            </w:r>
          </w:p>
        </w:tc>
      </w:tr>
      <w:tr w:rsidR="0005049E" w:rsidRPr="00521E46" w:rsidTr="00D804D5">
        <w:trPr>
          <w:trHeight w:val="312"/>
        </w:trPr>
        <w:tc>
          <w:tcPr>
            <w:tcW w:w="1500" w:type="dxa"/>
            <w:tcBorders>
              <w:top w:val="nil"/>
              <w:left w:val="nil"/>
              <w:bottom w:val="nil"/>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bCs/>
                <w:color w:val="000000" w:themeColor="text1"/>
                <w:sz w:val="20"/>
                <w:szCs w:val="20"/>
              </w:rPr>
            </w:pPr>
            <w:r w:rsidRPr="00521E46">
              <w:rPr>
                <w:rFonts w:ascii="Arial Narrow" w:hAnsi="Arial Narrow" w:cs="Arial"/>
                <w:color w:val="000000" w:themeColor="text1"/>
                <w:sz w:val="20"/>
                <w:szCs w:val="20"/>
              </w:rPr>
              <w:t>rs2910931</w:t>
            </w:r>
          </w:p>
        </w:tc>
        <w:tc>
          <w:tcPr>
            <w:tcW w:w="1350" w:type="dxa"/>
            <w:tcBorders>
              <w:top w:val="nil"/>
              <w:left w:val="nil"/>
              <w:bottom w:val="nil"/>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0.0019 (0.003)</w:t>
            </w:r>
          </w:p>
        </w:tc>
        <w:tc>
          <w:tcPr>
            <w:tcW w:w="1348" w:type="dxa"/>
            <w:tcBorders>
              <w:top w:val="nil"/>
              <w:left w:val="nil"/>
              <w:bottom w:val="nil"/>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0.2502 (0.012)</w:t>
            </w:r>
          </w:p>
        </w:tc>
        <w:tc>
          <w:tcPr>
            <w:tcW w:w="1276" w:type="dxa"/>
            <w:tcBorders>
              <w:top w:val="nil"/>
              <w:left w:val="nil"/>
              <w:bottom w:val="nil"/>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0.0075 (0.012)</w:t>
            </w:r>
          </w:p>
        </w:tc>
        <w:tc>
          <w:tcPr>
            <w:tcW w:w="850" w:type="dxa"/>
            <w:tcBorders>
              <w:top w:val="nil"/>
              <w:left w:val="nil"/>
              <w:bottom w:val="nil"/>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191.61</w:t>
            </w:r>
          </w:p>
        </w:tc>
        <w:tc>
          <w:tcPr>
            <w:tcW w:w="851" w:type="dxa"/>
            <w:tcBorders>
              <w:top w:val="nil"/>
              <w:left w:val="nil"/>
              <w:bottom w:val="nil"/>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188.85</w:t>
            </w:r>
          </w:p>
        </w:tc>
        <w:tc>
          <w:tcPr>
            <w:tcW w:w="342" w:type="dxa"/>
            <w:tcBorders>
              <w:top w:val="nil"/>
              <w:left w:val="nil"/>
              <w:bottom w:val="nil"/>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5.52</w:t>
            </w:r>
          </w:p>
        </w:tc>
        <w:tc>
          <w:tcPr>
            <w:tcW w:w="816" w:type="dxa"/>
            <w:tcBorders>
              <w:top w:val="nil"/>
              <w:left w:val="nil"/>
              <w:bottom w:val="nil"/>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0.0094</w:t>
            </w:r>
          </w:p>
        </w:tc>
      </w:tr>
      <w:tr w:rsidR="0005049E" w:rsidRPr="00521E46" w:rsidTr="00D804D5">
        <w:trPr>
          <w:trHeight w:val="312"/>
        </w:trPr>
        <w:tc>
          <w:tcPr>
            <w:tcW w:w="8333" w:type="dxa"/>
            <w:gridSpan w:val="8"/>
            <w:tcBorders>
              <w:top w:val="nil"/>
              <w:left w:val="nil"/>
              <w:bottom w:val="nil"/>
              <w:right w:val="nil"/>
            </w:tcBorders>
            <w:shd w:val="clear" w:color="auto" w:fill="auto"/>
            <w:noWrap/>
            <w:vAlign w:val="bottom"/>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bCs/>
                <w:iCs/>
                <w:color w:val="000000" w:themeColor="text1"/>
                <w:sz w:val="20"/>
                <w:szCs w:val="20"/>
              </w:rPr>
              <w:t>Control sample ASI (N=3112)</w:t>
            </w:r>
          </w:p>
        </w:tc>
      </w:tr>
      <w:tr w:rsidR="0005049E" w:rsidRPr="00521E46" w:rsidTr="00D804D5">
        <w:trPr>
          <w:trHeight w:val="312"/>
        </w:trPr>
        <w:tc>
          <w:tcPr>
            <w:tcW w:w="1500" w:type="dxa"/>
            <w:tcBorders>
              <w:top w:val="nil"/>
              <w:left w:val="nil"/>
              <w:bottom w:val="nil"/>
              <w:right w:val="nil"/>
            </w:tcBorders>
            <w:shd w:val="clear" w:color="auto" w:fill="auto"/>
            <w:noWrap/>
            <w:vAlign w:val="bottom"/>
          </w:tcPr>
          <w:p w:rsidR="0005049E" w:rsidRPr="00521E46" w:rsidRDefault="0005049E" w:rsidP="00D804D5">
            <w:pPr>
              <w:spacing w:before="120" w:after="120" w:line="360" w:lineRule="auto"/>
              <w:rPr>
                <w:rFonts w:ascii="Arial Narrow" w:hAnsi="Arial Narrow" w:cs="Arial"/>
                <w:bCs/>
                <w:color w:val="000000" w:themeColor="text1"/>
                <w:sz w:val="20"/>
                <w:szCs w:val="20"/>
              </w:rPr>
            </w:pPr>
            <w:r w:rsidRPr="00521E46">
              <w:rPr>
                <w:rFonts w:ascii="Arial Narrow" w:hAnsi="Arial Narrow" w:cs="Arial"/>
                <w:color w:val="000000" w:themeColor="text1"/>
                <w:sz w:val="20"/>
                <w:szCs w:val="20"/>
              </w:rPr>
              <w:t>rs2910931</w:t>
            </w:r>
          </w:p>
        </w:tc>
        <w:tc>
          <w:tcPr>
            <w:tcW w:w="1350" w:type="dxa"/>
            <w:tcBorders>
              <w:top w:val="nil"/>
              <w:left w:val="nil"/>
              <w:bottom w:val="nil"/>
              <w:right w:val="nil"/>
            </w:tcBorders>
            <w:shd w:val="clear" w:color="auto" w:fill="auto"/>
            <w:noWrap/>
            <w:vAlign w:val="bottom"/>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0.0687 (0.117)</w:t>
            </w:r>
          </w:p>
        </w:tc>
        <w:tc>
          <w:tcPr>
            <w:tcW w:w="1348" w:type="dxa"/>
            <w:tcBorders>
              <w:top w:val="nil"/>
              <w:left w:val="nil"/>
              <w:bottom w:val="nil"/>
              <w:right w:val="nil"/>
            </w:tcBorders>
            <w:shd w:val="clear" w:color="auto" w:fill="auto"/>
            <w:noWrap/>
            <w:vAlign w:val="bottom"/>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41.5373 (1.084)</w:t>
            </w:r>
          </w:p>
        </w:tc>
        <w:tc>
          <w:tcPr>
            <w:tcW w:w="1276" w:type="dxa"/>
            <w:tcBorders>
              <w:top w:val="nil"/>
              <w:left w:val="nil"/>
              <w:bottom w:val="nil"/>
              <w:right w:val="nil"/>
            </w:tcBorders>
            <w:shd w:val="clear" w:color="auto" w:fill="auto"/>
            <w:noWrap/>
            <w:vAlign w:val="bottom"/>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0.0017 (0.003)</w:t>
            </w:r>
          </w:p>
        </w:tc>
        <w:tc>
          <w:tcPr>
            <w:tcW w:w="850" w:type="dxa"/>
            <w:tcBorders>
              <w:top w:val="nil"/>
              <w:left w:val="nil"/>
              <w:bottom w:val="nil"/>
              <w:right w:val="nil"/>
            </w:tcBorders>
            <w:shd w:val="clear" w:color="auto" w:fill="auto"/>
            <w:noWrap/>
            <w:vAlign w:val="bottom"/>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-7000.16</w:t>
            </w:r>
          </w:p>
        </w:tc>
        <w:tc>
          <w:tcPr>
            <w:tcW w:w="851" w:type="dxa"/>
            <w:tcBorders>
              <w:top w:val="nil"/>
              <w:left w:val="nil"/>
              <w:bottom w:val="nil"/>
              <w:right w:val="nil"/>
            </w:tcBorders>
            <w:shd w:val="clear" w:color="auto" w:fill="auto"/>
            <w:noWrap/>
            <w:vAlign w:val="bottom"/>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-7001.76</w:t>
            </w:r>
          </w:p>
        </w:tc>
        <w:tc>
          <w:tcPr>
            <w:tcW w:w="342" w:type="dxa"/>
            <w:tcBorders>
              <w:top w:val="nil"/>
              <w:left w:val="nil"/>
              <w:bottom w:val="nil"/>
              <w:right w:val="nil"/>
            </w:tcBorders>
            <w:shd w:val="clear" w:color="auto" w:fill="auto"/>
            <w:noWrap/>
            <w:vAlign w:val="bottom"/>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3.19</w:t>
            </w:r>
          </w:p>
        </w:tc>
        <w:tc>
          <w:tcPr>
            <w:tcW w:w="816" w:type="dxa"/>
            <w:tcBorders>
              <w:top w:val="nil"/>
              <w:left w:val="nil"/>
              <w:bottom w:val="nil"/>
              <w:right w:val="nil"/>
            </w:tcBorders>
            <w:shd w:val="clear" w:color="auto" w:fill="auto"/>
            <w:noWrap/>
            <w:vAlign w:val="bottom"/>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0.0370</w:t>
            </w:r>
          </w:p>
        </w:tc>
      </w:tr>
      <w:tr w:rsidR="0005049E" w:rsidRPr="00521E46" w:rsidTr="00D804D5">
        <w:trPr>
          <w:trHeight w:val="288"/>
        </w:trPr>
        <w:tc>
          <w:tcPr>
            <w:tcW w:w="8333" w:type="dxa"/>
            <w:gridSpan w:val="8"/>
            <w:tcBorders>
              <w:top w:val="nil"/>
              <w:left w:val="nil"/>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bCs/>
                <w:iCs/>
                <w:color w:val="000000" w:themeColor="text1"/>
                <w:sz w:val="20"/>
                <w:szCs w:val="20"/>
              </w:rPr>
            </w:pPr>
            <w:r w:rsidRPr="00521E46">
              <w:rPr>
                <w:rFonts w:ascii="Arial Narrow" w:hAnsi="Arial Narrow" w:cs="Arial"/>
                <w:bCs/>
                <w:iCs/>
                <w:color w:val="000000" w:themeColor="text1"/>
                <w:sz w:val="20"/>
                <w:szCs w:val="20"/>
              </w:rPr>
              <w:t>Control sample ACQ (N=3112)</w:t>
            </w:r>
          </w:p>
        </w:tc>
      </w:tr>
      <w:tr w:rsidR="0005049E" w:rsidRPr="00521E46" w:rsidTr="00D804D5">
        <w:trPr>
          <w:trHeight w:val="312"/>
        </w:trPr>
        <w:tc>
          <w:tcPr>
            <w:tcW w:w="1500" w:type="dxa"/>
            <w:tcBorders>
              <w:top w:val="nil"/>
              <w:left w:val="nil"/>
              <w:bottom w:val="single" w:sz="4" w:space="0" w:color="auto"/>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bCs/>
                <w:color w:val="000000" w:themeColor="text1"/>
                <w:sz w:val="20"/>
                <w:szCs w:val="20"/>
              </w:rPr>
            </w:pPr>
            <w:r w:rsidRPr="00521E46">
              <w:rPr>
                <w:rFonts w:ascii="Arial Narrow" w:hAnsi="Arial Narrow" w:cs="Arial"/>
                <w:color w:val="000000" w:themeColor="text1"/>
                <w:sz w:val="20"/>
                <w:szCs w:val="20"/>
              </w:rPr>
              <w:t>rs2910931</w:t>
            </w:r>
          </w:p>
        </w:tc>
        <w:tc>
          <w:tcPr>
            <w:tcW w:w="1350" w:type="dxa"/>
            <w:tcBorders>
              <w:top w:val="nil"/>
              <w:left w:val="nil"/>
              <w:bottom w:val="single" w:sz="4" w:space="0" w:color="auto"/>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0.0001 (0.000)</w:t>
            </w:r>
          </w:p>
        </w:tc>
        <w:tc>
          <w:tcPr>
            <w:tcW w:w="1348" w:type="dxa"/>
            <w:tcBorders>
              <w:top w:val="nil"/>
              <w:left w:val="nil"/>
              <w:bottom w:val="single" w:sz="4" w:space="0" w:color="auto"/>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0.0516 (0.001)</w:t>
            </w:r>
          </w:p>
        </w:tc>
        <w:tc>
          <w:tcPr>
            <w:tcW w:w="1276" w:type="dxa"/>
            <w:tcBorders>
              <w:top w:val="nil"/>
              <w:left w:val="nil"/>
              <w:bottom w:val="single" w:sz="4" w:space="0" w:color="auto"/>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0.0014 (0.002)</w:t>
            </w:r>
          </w:p>
        </w:tc>
        <w:tc>
          <w:tcPr>
            <w:tcW w:w="850" w:type="dxa"/>
            <w:tcBorders>
              <w:top w:val="nil"/>
              <w:left w:val="nil"/>
              <w:bottom w:val="single" w:sz="4" w:space="0" w:color="auto"/>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2904.45</w:t>
            </w:r>
          </w:p>
        </w:tc>
        <w:tc>
          <w:tcPr>
            <w:tcW w:w="851" w:type="dxa"/>
            <w:tcBorders>
              <w:top w:val="nil"/>
              <w:left w:val="nil"/>
              <w:bottom w:val="single" w:sz="4" w:space="0" w:color="auto"/>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2903.14</w:t>
            </w:r>
          </w:p>
        </w:tc>
        <w:tc>
          <w:tcPr>
            <w:tcW w:w="342" w:type="dxa"/>
            <w:tcBorders>
              <w:top w:val="nil"/>
              <w:left w:val="nil"/>
              <w:bottom w:val="single" w:sz="4" w:space="0" w:color="auto"/>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2.6</w:t>
            </w:r>
          </w:p>
        </w:tc>
        <w:tc>
          <w:tcPr>
            <w:tcW w:w="816" w:type="dxa"/>
            <w:tcBorders>
              <w:top w:val="nil"/>
              <w:left w:val="nil"/>
              <w:bottom w:val="single" w:sz="4" w:space="0" w:color="auto"/>
              <w:right w:val="nil"/>
            </w:tcBorders>
            <w:shd w:val="clear" w:color="auto" w:fill="auto"/>
            <w:noWrap/>
            <w:vAlign w:val="bottom"/>
            <w:hideMark/>
          </w:tcPr>
          <w:p w:rsidR="0005049E" w:rsidRPr="00521E46" w:rsidRDefault="0005049E" w:rsidP="00D804D5">
            <w:pPr>
              <w:spacing w:before="120" w:after="120" w:line="360" w:lineRule="auto"/>
              <w:rPr>
                <w:rFonts w:ascii="Arial Narrow" w:hAnsi="Arial Narrow" w:cs="Arial"/>
                <w:color w:val="000000" w:themeColor="text1"/>
                <w:sz w:val="20"/>
                <w:szCs w:val="20"/>
              </w:rPr>
            </w:pPr>
            <w:r w:rsidRPr="00521E46">
              <w:rPr>
                <w:rFonts w:ascii="Arial Narrow" w:hAnsi="Arial Narrow" w:cs="Arial"/>
                <w:color w:val="000000" w:themeColor="text1"/>
                <w:sz w:val="20"/>
                <w:szCs w:val="20"/>
              </w:rPr>
              <w:t>0.0521</w:t>
            </w:r>
          </w:p>
        </w:tc>
      </w:tr>
    </w:tbl>
    <w:p w:rsidR="0005049E" w:rsidRPr="00521E46" w:rsidRDefault="0005049E" w:rsidP="0005049E">
      <w:pPr>
        <w:spacing w:before="120" w:after="120" w:line="360" w:lineRule="auto"/>
        <w:rPr>
          <w:rFonts w:ascii="Arial" w:hAnsi="Arial" w:cs="Arial"/>
          <w:color w:val="000000" w:themeColor="text1"/>
          <w:lang w:val="en-US"/>
        </w:rPr>
      </w:pPr>
    </w:p>
    <w:p w:rsidR="0005049E" w:rsidRPr="00521E46" w:rsidRDefault="0005049E" w:rsidP="0005049E">
      <w:pPr>
        <w:spacing w:before="120" w:after="120" w:line="360" w:lineRule="auto"/>
        <w:rPr>
          <w:rFonts w:ascii="Arial" w:hAnsi="Arial" w:cs="Arial"/>
          <w:color w:val="000000" w:themeColor="text1"/>
          <w:lang w:val="en-US"/>
        </w:rPr>
      </w:pPr>
      <w:r w:rsidRPr="00521E46">
        <w:rPr>
          <w:rFonts w:ascii="Arial" w:hAnsi="Arial" w:cs="Arial"/>
          <w:color w:val="000000" w:themeColor="text1"/>
          <w:lang w:val="en-US"/>
        </w:rPr>
        <w:br w:type="page"/>
      </w:r>
    </w:p>
    <w:p w:rsidR="0005049E" w:rsidRPr="00521E46" w:rsidRDefault="0005049E" w:rsidP="0005049E">
      <w:pPr>
        <w:spacing w:before="120" w:after="120" w:line="360" w:lineRule="auto"/>
        <w:rPr>
          <w:rFonts w:ascii="Arial" w:hAnsi="Arial" w:cs="Arial"/>
          <w:b/>
          <w:color w:val="000000" w:themeColor="text1"/>
          <w:sz w:val="32"/>
          <w:szCs w:val="32"/>
          <w:u w:val="single"/>
          <w:lang w:val="en-US"/>
        </w:rPr>
      </w:pPr>
      <w:r w:rsidRPr="00521E46">
        <w:rPr>
          <w:rFonts w:ascii="Arial" w:hAnsi="Arial" w:cs="Arial"/>
          <w:b/>
          <w:color w:val="000000" w:themeColor="text1"/>
          <w:sz w:val="32"/>
          <w:szCs w:val="32"/>
          <w:u w:val="single"/>
          <w:lang w:val="en-US"/>
        </w:rPr>
        <w:lastRenderedPageBreak/>
        <w:t>Supplemental Methods</w:t>
      </w:r>
    </w:p>
    <w:p w:rsidR="0005049E" w:rsidRPr="00521E46" w:rsidRDefault="0005049E" w:rsidP="0005049E">
      <w:pPr>
        <w:pStyle w:val="AnnettelaufenderText"/>
        <w:spacing w:before="120" w:after="120"/>
        <w:rPr>
          <w:rFonts w:ascii="Arial" w:hAnsi="Arial" w:cs="Arial"/>
          <w:i/>
          <w:noProof/>
          <w:color w:val="000000" w:themeColor="text1"/>
          <w:szCs w:val="24"/>
        </w:rPr>
      </w:pPr>
    </w:p>
    <w:p w:rsidR="0005049E" w:rsidRPr="00521E46" w:rsidRDefault="0005049E" w:rsidP="0005049E">
      <w:pPr>
        <w:pStyle w:val="AnnettelaufenderText"/>
        <w:spacing w:before="120" w:after="120"/>
        <w:rPr>
          <w:rFonts w:ascii="Arial" w:hAnsi="Arial" w:cs="Arial"/>
          <w:i/>
          <w:noProof/>
          <w:color w:val="000000" w:themeColor="text1"/>
          <w:szCs w:val="24"/>
        </w:rPr>
      </w:pPr>
      <w:r w:rsidRPr="00521E46">
        <w:rPr>
          <w:rFonts w:ascii="Arial" w:hAnsi="Arial" w:cs="Arial"/>
          <w:i/>
          <w:noProof/>
          <w:color w:val="000000" w:themeColor="text1"/>
          <w:szCs w:val="24"/>
        </w:rPr>
        <w:t>Promoter Activity Assay</w:t>
      </w:r>
    </w:p>
    <w:p w:rsidR="0005049E" w:rsidRPr="00521E46" w:rsidRDefault="0005049E" w:rsidP="0005049E">
      <w:pPr>
        <w:pStyle w:val="AnnettelaufenderText"/>
        <w:spacing w:before="120" w:after="120"/>
        <w:rPr>
          <w:rFonts w:ascii="Arial" w:hAnsi="Arial" w:cs="Arial"/>
          <w:noProof/>
          <w:color w:val="000000" w:themeColor="text1"/>
          <w:szCs w:val="24"/>
        </w:rPr>
      </w:pPr>
      <w:r w:rsidRPr="00521E46">
        <w:rPr>
          <w:rFonts w:ascii="Arial" w:hAnsi="Arial" w:cs="Arial"/>
          <w:noProof/>
          <w:color w:val="000000" w:themeColor="text1"/>
          <w:szCs w:val="24"/>
        </w:rPr>
        <w:t>Phosphorylated, single-stranded DNA oligonucleotides, containing rs2910931 along with the -20/+20bp up-/downstream region and two restriction sites for 5’ XhoI and 3’ HindIII to allow subcloning into the multiple cloning site of pGL4.23 (Promega Corporation, Madison, WI, USA) were synthesized for each allele as given in the table below (MWG-Biotech AG, Ebersberg, Germany). PGL4.23 allows expression of firefly luciferase by a minimal promoter containing the promotor sequence flanking both SNPs. HEK293 cells were split into a 96-well plate 4h prior to transfection and cotransfected with 20ng pGL4.23 and 20ng of pGL4.74 (Promega Corporation, Madison, WI, USA) using the Attractene Transfection Reagent (Qiagen, Hilden, Germany) and incubated for 40-48h. Luciferase activity was again assessed using the LucPair Luciferase Assay Kit 2.0 (Genecopeia, Rockville, MD, USA) and an EnVision 2104 Multilabel Reader (Perkin Elmer, Waltham, MA, USA). Firefly activity was normalized to renilla activity for each well in technical triplicates. For comparison of allele-specific luciferase activity, a two-sided t-test was conducted.</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7017"/>
      </w:tblGrid>
      <w:tr w:rsidR="0005049E" w:rsidRPr="00521E46" w:rsidTr="00D804D5">
        <w:trPr>
          <w:trHeight w:val="879"/>
        </w:trPr>
        <w:tc>
          <w:tcPr>
            <w:tcW w:w="2258" w:type="dxa"/>
            <w:shd w:val="clear" w:color="auto" w:fill="auto"/>
            <w:vAlign w:val="center"/>
          </w:tcPr>
          <w:p w:rsidR="0005049E" w:rsidRPr="00521E46" w:rsidRDefault="0005049E" w:rsidP="00D804D5">
            <w:pPr>
              <w:pStyle w:val="AnnettelaufenderText"/>
              <w:spacing w:before="120" w:after="120" w:line="240" w:lineRule="auto"/>
              <w:jc w:val="right"/>
              <w:rPr>
                <w:rFonts w:ascii="Consolas" w:hAnsi="Consolas" w:cs="Arial"/>
                <w:noProof/>
                <w:color w:val="000000" w:themeColor="text1"/>
                <w:sz w:val="20"/>
                <w:szCs w:val="20"/>
              </w:rPr>
            </w:pPr>
            <w:r w:rsidRPr="00521E46">
              <w:rPr>
                <w:rFonts w:ascii="Consolas" w:hAnsi="Consolas" w:cs="Arial"/>
                <w:noProof/>
                <w:color w:val="000000" w:themeColor="text1"/>
                <w:sz w:val="20"/>
                <w:szCs w:val="20"/>
              </w:rPr>
              <w:t>rs2910931(A)</w:t>
            </w:r>
          </w:p>
          <w:p w:rsidR="0005049E" w:rsidRPr="00521E46" w:rsidRDefault="0005049E" w:rsidP="00D804D5">
            <w:pPr>
              <w:pStyle w:val="AnnettelaufenderText"/>
              <w:spacing w:before="120" w:after="120" w:line="240" w:lineRule="auto"/>
              <w:jc w:val="right"/>
              <w:rPr>
                <w:rFonts w:ascii="Consolas" w:hAnsi="Consolas" w:cs="Arial"/>
                <w:noProof/>
                <w:color w:val="000000" w:themeColor="text1"/>
                <w:sz w:val="20"/>
                <w:szCs w:val="20"/>
              </w:rPr>
            </w:pPr>
            <w:r w:rsidRPr="00521E46">
              <w:rPr>
                <w:rFonts w:ascii="Consolas" w:hAnsi="Consolas" w:cs="Arial"/>
                <w:noProof/>
                <w:color w:val="000000" w:themeColor="text1"/>
                <w:sz w:val="20"/>
                <w:szCs w:val="20"/>
              </w:rPr>
              <w:t>reverse complement</w:t>
            </w:r>
          </w:p>
        </w:tc>
        <w:tc>
          <w:tcPr>
            <w:tcW w:w="7017" w:type="dxa"/>
            <w:shd w:val="clear" w:color="auto" w:fill="auto"/>
          </w:tcPr>
          <w:p w:rsidR="0005049E" w:rsidRPr="00521E46" w:rsidRDefault="0005049E" w:rsidP="00D804D5">
            <w:pPr>
              <w:pStyle w:val="AnnettelaufenderText"/>
              <w:spacing w:before="120" w:after="120" w:line="240" w:lineRule="auto"/>
              <w:rPr>
                <w:rFonts w:ascii="Consolas" w:hAnsi="Consolas" w:cs="Arial"/>
                <w:noProof/>
                <w:color w:val="000000" w:themeColor="text1"/>
                <w:sz w:val="20"/>
                <w:szCs w:val="20"/>
              </w:rPr>
            </w:pPr>
            <w:r w:rsidRPr="00521E46">
              <w:rPr>
                <w:rFonts w:ascii="Consolas" w:hAnsi="Consolas" w:cs="Arial"/>
                <w:noProof/>
                <w:color w:val="000000" w:themeColor="text1"/>
                <w:sz w:val="20"/>
                <w:szCs w:val="20"/>
              </w:rPr>
              <w:t>5’-TCGAGTTTGATAGATTCTACATGTT-A-ATAATGTCCATAAAGAAACTA-3’</w:t>
            </w:r>
          </w:p>
          <w:p w:rsidR="0005049E" w:rsidRPr="00521E46" w:rsidRDefault="0005049E" w:rsidP="00D804D5">
            <w:pPr>
              <w:pStyle w:val="AnnettelaufenderText"/>
              <w:spacing w:before="120" w:after="120" w:line="240" w:lineRule="auto"/>
              <w:rPr>
                <w:rFonts w:ascii="Consolas" w:hAnsi="Consolas" w:cs="Arial"/>
                <w:noProof/>
                <w:color w:val="000000" w:themeColor="text1"/>
                <w:sz w:val="20"/>
                <w:szCs w:val="20"/>
              </w:rPr>
            </w:pPr>
            <w:r w:rsidRPr="00521E46">
              <w:rPr>
                <w:rFonts w:ascii="Consolas" w:hAnsi="Consolas" w:cs="Arial"/>
                <w:noProof/>
                <w:color w:val="000000" w:themeColor="text1"/>
                <w:sz w:val="20"/>
                <w:szCs w:val="20"/>
              </w:rPr>
              <w:t xml:space="preserve">5’-AGCTTAGTTTCTTTATGGACATTAT-T-AACATGTAGAATCTATCAAAC-3’ </w:t>
            </w:r>
          </w:p>
        </w:tc>
      </w:tr>
      <w:tr w:rsidR="0005049E" w:rsidRPr="00521E46" w:rsidTr="00D804D5">
        <w:trPr>
          <w:trHeight w:val="825"/>
        </w:trPr>
        <w:tc>
          <w:tcPr>
            <w:tcW w:w="2258" w:type="dxa"/>
            <w:shd w:val="clear" w:color="auto" w:fill="auto"/>
            <w:vAlign w:val="center"/>
          </w:tcPr>
          <w:p w:rsidR="0005049E" w:rsidRPr="00521E46" w:rsidRDefault="0005049E" w:rsidP="00D804D5">
            <w:pPr>
              <w:pStyle w:val="AnnettelaufenderText"/>
              <w:spacing w:before="120" w:after="120" w:line="240" w:lineRule="auto"/>
              <w:jc w:val="right"/>
              <w:rPr>
                <w:rFonts w:ascii="Consolas" w:hAnsi="Consolas" w:cs="Arial"/>
                <w:noProof/>
                <w:color w:val="000000" w:themeColor="text1"/>
                <w:sz w:val="20"/>
                <w:szCs w:val="20"/>
              </w:rPr>
            </w:pPr>
            <w:r w:rsidRPr="00521E46">
              <w:rPr>
                <w:rFonts w:ascii="Consolas" w:hAnsi="Consolas" w:cs="Arial"/>
                <w:noProof/>
                <w:color w:val="000000" w:themeColor="text1"/>
                <w:sz w:val="20"/>
                <w:szCs w:val="20"/>
              </w:rPr>
              <w:t>rs2910931(T)</w:t>
            </w:r>
          </w:p>
          <w:p w:rsidR="0005049E" w:rsidRPr="00521E46" w:rsidRDefault="0005049E" w:rsidP="00D804D5">
            <w:pPr>
              <w:pStyle w:val="AnnettelaufenderText"/>
              <w:spacing w:before="120" w:after="120" w:line="240" w:lineRule="auto"/>
              <w:jc w:val="right"/>
              <w:rPr>
                <w:rFonts w:ascii="Consolas" w:hAnsi="Consolas" w:cs="Arial"/>
                <w:noProof/>
                <w:color w:val="000000" w:themeColor="text1"/>
                <w:sz w:val="20"/>
                <w:szCs w:val="20"/>
              </w:rPr>
            </w:pPr>
            <w:r w:rsidRPr="00521E46">
              <w:rPr>
                <w:rFonts w:ascii="Consolas" w:hAnsi="Consolas" w:cs="Arial"/>
                <w:noProof/>
                <w:color w:val="000000" w:themeColor="text1"/>
                <w:sz w:val="20"/>
                <w:szCs w:val="20"/>
              </w:rPr>
              <w:t>reverse complement</w:t>
            </w:r>
          </w:p>
        </w:tc>
        <w:tc>
          <w:tcPr>
            <w:tcW w:w="7017" w:type="dxa"/>
            <w:shd w:val="clear" w:color="auto" w:fill="auto"/>
          </w:tcPr>
          <w:p w:rsidR="0005049E" w:rsidRPr="00521E46" w:rsidRDefault="0005049E" w:rsidP="00D804D5">
            <w:pPr>
              <w:pStyle w:val="AnnettelaufenderText"/>
              <w:spacing w:before="120" w:after="120" w:line="240" w:lineRule="auto"/>
              <w:rPr>
                <w:rFonts w:ascii="Consolas" w:hAnsi="Consolas" w:cs="Arial"/>
                <w:noProof/>
                <w:color w:val="000000" w:themeColor="text1"/>
                <w:sz w:val="20"/>
                <w:szCs w:val="20"/>
              </w:rPr>
            </w:pPr>
            <w:r w:rsidRPr="00521E46">
              <w:rPr>
                <w:rFonts w:ascii="Consolas" w:hAnsi="Consolas" w:cs="Arial"/>
                <w:noProof/>
                <w:color w:val="000000" w:themeColor="text1"/>
                <w:sz w:val="20"/>
                <w:szCs w:val="20"/>
              </w:rPr>
              <w:t>5’-TCGAGTTTGATAGATTCTACATGTT-T-ATAATGTCCATAAAGAAACTA-3’</w:t>
            </w:r>
          </w:p>
          <w:p w:rsidR="0005049E" w:rsidRPr="00521E46" w:rsidRDefault="0005049E" w:rsidP="00D804D5">
            <w:pPr>
              <w:pStyle w:val="AnnettelaufenderText"/>
              <w:spacing w:before="120" w:after="120" w:line="240" w:lineRule="auto"/>
              <w:rPr>
                <w:rFonts w:ascii="Consolas" w:hAnsi="Consolas" w:cs="Arial"/>
                <w:noProof/>
                <w:color w:val="000000" w:themeColor="text1"/>
                <w:sz w:val="20"/>
                <w:szCs w:val="20"/>
              </w:rPr>
            </w:pPr>
            <w:r w:rsidRPr="00521E46">
              <w:rPr>
                <w:rFonts w:ascii="Consolas" w:hAnsi="Consolas" w:cs="Arial"/>
                <w:noProof/>
                <w:color w:val="000000" w:themeColor="text1"/>
                <w:sz w:val="20"/>
                <w:szCs w:val="20"/>
              </w:rPr>
              <w:t xml:space="preserve">5’-AGCTTAGTTTCTTTATGGACATTAT-A-AACATGTAGAATCTATCAAAC-3’ </w:t>
            </w:r>
          </w:p>
        </w:tc>
      </w:tr>
    </w:tbl>
    <w:p w:rsidR="0005049E" w:rsidRPr="00521E46" w:rsidRDefault="0005049E" w:rsidP="0005049E">
      <w:pPr>
        <w:spacing w:before="120" w:after="120" w:line="360" w:lineRule="auto"/>
        <w:rPr>
          <w:rFonts w:ascii="Arial" w:hAnsi="Arial" w:cs="Arial"/>
          <w:b/>
          <w:color w:val="000000" w:themeColor="text1"/>
          <w:lang w:val="en-US"/>
        </w:rPr>
      </w:pPr>
    </w:p>
    <w:p w:rsidR="0005049E" w:rsidRPr="00521E46" w:rsidRDefault="0005049E" w:rsidP="0005049E">
      <w:pPr>
        <w:spacing w:line="360" w:lineRule="auto"/>
        <w:rPr>
          <w:rFonts w:ascii="Arial" w:hAnsi="Arial" w:cs="Arial"/>
          <w:i/>
          <w:noProof/>
          <w:color w:val="000000" w:themeColor="text1"/>
          <w:lang w:val="en-US"/>
        </w:rPr>
      </w:pPr>
      <w:r w:rsidRPr="00521E46">
        <w:rPr>
          <w:rFonts w:ascii="Arial" w:hAnsi="Arial" w:cs="Arial"/>
          <w:i/>
          <w:noProof/>
          <w:color w:val="000000" w:themeColor="text1"/>
          <w:lang w:val="en-US"/>
        </w:rPr>
        <w:t>fMRI data acquisition and analysis</w:t>
      </w:r>
    </w:p>
    <w:p w:rsidR="0005049E" w:rsidRPr="00521E46" w:rsidRDefault="0005049E" w:rsidP="0005049E">
      <w:pPr>
        <w:pStyle w:val="AnnettelaufenderText"/>
        <w:spacing w:before="120" w:after="120"/>
        <w:rPr>
          <w:rFonts w:ascii="Arial" w:hAnsi="Arial" w:cs="Arial"/>
          <w:noProof/>
          <w:color w:val="000000" w:themeColor="text1"/>
          <w:szCs w:val="24"/>
        </w:rPr>
      </w:pPr>
      <w:r w:rsidRPr="00521E46">
        <w:rPr>
          <w:rFonts w:ascii="Arial" w:hAnsi="Arial" w:cs="Arial"/>
          <w:noProof/>
          <w:color w:val="000000" w:themeColor="text1"/>
          <w:szCs w:val="24"/>
        </w:rPr>
        <w:t>A differential fear conditioning and extinction task was applied as described previously.</w:t>
      </w:r>
      <w:r w:rsidRPr="00521E46">
        <w:rPr>
          <w:rFonts w:ascii="Arial" w:hAnsi="Arial" w:cs="Arial"/>
          <w:noProof/>
          <w:color w:val="000000" w:themeColor="text1"/>
        </w:rPr>
        <w:fldChar w:fldCharType="begin"/>
      </w:r>
      <w:r w:rsidRPr="00521E46">
        <w:rPr>
          <w:rFonts w:ascii="Arial" w:hAnsi="Arial" w:cs="Arial"/>
          <w:noProof/>
          <w:color w:val="000000" w:themeColor="text1"/>
          <w:szCs w:val="24"/>
        </w:rPr>
        <w:instrText xml:space="preserve"> ADDIN PAPERS2_CITATIONS &lt;citation&gt;&lt;uuid&gt;137AB92B-2B04-40AB-9B63-08F7C3C5ACED&lt;/uuid&gt;&lt;priority&gt;0&lt;/priority&gt;&lt;publications&gt;&lt;publication&gt;&lt;uuid&gt;C8017BBA-F010-44E4-902D-78C65CE2DAF5&lt;/uuid&gt;&lt;volume&gt;7&lt;/volume&gt;&lt;accepted_date&gt;99201707041200000000222000&lt;/accepted_date&gt;&lt;doi&gt;10.1038/tp.2017.186&lt;/doi&gt;&lt;startpage&gt;e1227&lt;/startpage&gt;&lt;revision_date&gt;99201706071200000000222000&lt;/revision_date&gt;&lt;publication_date&gt;99201709051200000000222000&lt;/publication_date&gt;&lt;url&gt;http://www.nature.com/doifinder/10.1038/tp.2017.186&lt;/url&gt;&lt;type&gt;400&lt;/type&gt;&lt;title&gt;Modulation of defensive reactivity by GLRB allelic variation: converging evidence from an intermediate phenotype approach.&lt;/title&gt;&lt;submission_date&gt;99201702151200000000222000&lt;/submission_date&gt;&lt;number&gt;9&lt;/number&gt;&lt;institution&gt;Center of Mental Health, Department of Psychiatry, Psychosomatics, and Psychotherapy, University Hospital of Würzburg, Würzburg, Germany.&lt;/institution&gt;&lt;subtype&gt;400&lt;/subtype&gt;&lt;bundle&gt;&lt;publication&gt;&lt;publisher&gt;Nature Publishing Group&lt;/publisher&gt;&lt;title&gt;Translational psychiatry&lt;/title&gt;&lt;type&gt;-100&lt;/type&gt;&lt;subtype&gt;-100&lt;/subtype&gt;&lt;uuid&gt;99ECE0C7-383B-4F58-9785-713C0ABD760A&lt;/uuid&gt;&lt;/publication&gt;&lt;/bundle&gt;&lt;authors&gt;&lt;author&gt;&lt;firstName&gt;U&lt;/firstName&gt;&lt;lastName&gt;Lueken&lt;/lastName&gt;&lt;/author&gt;&lt;author&gt;&lt;firstName&gt;M&lt;/firstName&gt;&lt;lastName&gt;Kuhn&lt;/lastName&gt;&lt;/author&gt;&lt;author&gt;&lt;firstName&gt;Y&lt;/firstName&gt;&lt;lastName&gt;Yang&lt;/lastName&gt;&lt;/author&gt;&lt;author&gt;&lt;firstName&gt;B&lt;/firstName&gt;&lt;lastName&gt;Straube&lt;/lastName&gt;&lt;/author&gt;&lt;author&gt;&lt;firstName&gt;T&lt;/firstName&gt;&lt;lastName&gt;Kircher&lt;/lastName&gt;&lt;/author&gt;&lt;author&gt;&lt;firstName&gt;H-U&lt;/firstName&gt;&lt;lastName&gt;Wittchen&lt;/lastName&gt;&lt;/author&gt;&lt;author&gt;&lt;firstName&gt;B&lt;/firstName&gt;&lt;lastName&gt;Pfleiderer&lt;/lastName&gt;&lt;/author&gt;&lt;author&gt;&lt;firstName&gt;V&lt;/firstName&gt;&lt;lastName&gt;Arolt&lt;/lastName&gt;&lt;/author&gt;&lt;author&gt;&lt;firstName&gt;A&lt;/firstName&gt;&lt;lastName&gt;Wittmann&lt;/lastName&gt;&lt;/author&gt;&lt;author&gt;&lt;firstName&gt;A&lt;/firstName&gt;&lt;lastName&gt;Ströhle&lt;/lastName&gt;&lt;/author&gt;&lt;author&gt;&lt;firstName&gt;H&lt;/firstName&gt;&lt;lastName&gt;Weber&lt;/lastName&gt;&lt;/author&gt;&lt;author&gt;&lt;firstName&gt;A&lt;/firstName&gt;&lt;lastName&gt;Reif&lt;/lastName&gt;&lt;/author&gt;&lt;author&gt;&lt;firstName&gt;Katharina&lt;/firstName&gt;&lt;lastName&gt;Domschke&lt;/lastName&gt;&lt;/author&gt;&lt;author&gt;&lt;firstName&gt;J&lt;/firstName&gt;&lt;lastName&gt;Deckert&lt;/lastName&gt;&lt;/author&gt;&lt;author&gt;&lt;firstName&gt;T&lt;/firstName&gt;&lt;middleNames&gt;B&lt;/middleNames&gt;&lt;lastName&gt;Lonsdorf&lt;/lastName&gt;&lt;/author&gt;&lt;/authors&gt;&lt;/publication&gt;&lt;/publications&gt;&lt;cites&gt;&lt;/cites&gt;&lt;/citation&gt;</w:instrText>
      </w:r>
      <w:r w:rsidRPr="00521E46">
        <w:rPr>
          <w:rFonts w:ascii="Arial" w:hAnsi="Arial" w:cs="Arial"/>
          <w:noProof/>
          <w:color w:val="000000" w:themeColor="text1"/>
        </w:rPr>
        <w:fldChar w:fldCharType="separate"/>
      </w:r>
      <w:r w:rsidRPr="00521E46">
        <w:rPr>
          <w:rFonts w:ascii="Helvetica" w:hAnsi="Helvetica" w:cs="Helvetica"/>
          <w:color w:val="000000" w:themeColor="text1"/>
          <w:vertAlign w:val="superscript"/>
        </w:rPr>
        <w:t>16</w:t>
      </w:r>
      <w:r w:rsidRPr="00521E46">
        <w:rPr>
          <w:rFonts w:ascii="Arial" w:hAnsi="Arial" w:cs="Arial"/>
          <w:noProof/>
          <w:color w:val="000000" w:themeColor="text1"/>
        </w:rPr>
        <w:fldChar w:fldCharType="end"/>
      </w:r>
      <w:r w:rsidRPr="00521E46">
        <w:rPr>
          <w:rFonts w:ascii="Arial" w:hAnsi="Arial" w:cs="Arial"/>
          <w:noProof/>
          <w:color w:val="000000" w:themeColor="text1"/>
          <w:szCs w:val="24"/>
        </w:rPr>
        <w:t xml:space="preserve"> During each trial of the three task-phases (familiarization (F) with 16 trials; acquisition (A) with 32 trials and extinction (E) with 16 trials), each conditioned stimulus (CS, colored geometrical forms) was presented for 2000 ms with a variable inter-trial interval (ITI) of 4.785 to 7.250 sec. An aversive acoustic signal (white noise) presented for 100 ms at 70-105 dB (adjusted to individual perception of aversiveness) served as the unconditioned stiulus (US). Stimuli were presented on MR-compatible LCD goggles or back projection systems and standard headphones using Presentation 11 (Neurobehavioral Systems, Berkeley, USA). During acquisition, the US was </w:t>
      </w:r>
      <w:r w:rsidRPr="00521E46">
        <w:rPr>
          <w:rFonts w:ascii="Arial" w:hAnsi="Arial" w:cs="Arial"/>
          <w:noProof/>
          <w:color w:val="000000" w:themeColor="text1"/>
          <w:szCs w:val="24"/>
        </w:rPr>
        <w:lastRenderedPageBreak/>
        <w:t xml:space="preserve">pseudorandomly paired with one of the CSs (counterbalanced between subjects; partial reinforcement rate of 50) such that equal proportions of CS+ paired and CS+ unpaired trials were obtained. After each phase of the task, subjective valence and arousal ratings for both CSs were obtained using a five-point Likert Scale (for valence: 1 = ‘very unpleasant’ to 5 = ‘very pleasant’ and for arousal: 1 = ‘not arousing’ to 5= ‘very arousing’). Ratings of one subject were missing due to technical failure. </w:t>
      </w:r>
    </w:p>
    <w:p w:rsidR="0005049E" w:rsidRPr="00521E46" w:rsidRDefault="0005049E" w:rsidP="0005049E">
      <w:pPr>
        <w:pStyle w:val="AnnettelaufenderText"/>
        <w:spacing w:before="120" w:after="120"/>
        <w:rPr>
          <w:rFonts w:ascii="Arial" w:hAnsi="Arial" w:cs="Arial"/>
          <w:noProof/>
          <w:color w:val="000000" w:themeColor="text1"/>
          <w:szCs w:val="24"/>
        </w:rPr>
      </w:pPr>
      <w:r w:rsidRPr="00521E46">
        <w:rPr>
          <w:rFonts w:ascii="Arial" w:hAnsi="Arial" w:cs="Arial"/>
          <w:noProof/>
          <w:color w:val="000000" w:themeColor="text1"/>
          <w:szCs w:val="24"/>
        </w:rPr>
        <w:t>Details concerning fMRI data acquisition, preprocessing, single subject and group analyses have been described previously in more detail.</w:t>
      </w:r>
      <w:r w:rsidRPr="00521E46">
        <w:rPr>
          <w:rFonts w:ascii="Arial" w:hAnsi="Arial" w:cs="Arial"/>
          <w:noProof/>
          <w:color w:val="000000" w:themeColor="text1"/>
          <w:szCs w:val="24"/>
          <w:highlight w:val="yellow"/>
        </w:rPr>
        <w:fldChar w:fldCharType="begin"/>
      </w:r>
      <w:r w:rsidRPr="00521E46">
        <w:rPr>
          <w:rFonts w:ascii="Arial" w:hAnsi="Arial" w:cs="Arial"/>
          <w:noProof/>
          <w:color w:val="000000" w:themeColor="text1"/>
          <w:szCs w:val="24"/>
          <w:highlight w:val="yellow"/>
        </w:rPr>
        <w:instrText xml:space="preserve"> ADDIN PAPERS2_CITATIONS &lt;citation&gt;&lt;uuid&gt;1FD2621F-0264-460F-9068-F56891A624AE&lt;/uuid&gt;&lt;priority&gt;0&lt;/priority&gt;&lt;publications&gt;&lt;publication&gt;&lt;uuid&gt;A1E552BE-44A6-4625-814D-4000E002CA10&lt;/uuid&gt;&lt;volume&gt;73&lt;/volume&gt;&lt;accepted_date&gt;99201207021200000000222000&lt;/accepted_date&gt;&lt;doi&gt;10.1016/j.biopsych.2012.07.026&lt;/doi&gt;&lt;startpage&gt;93&lt;/startpage&gt;&lt;revision_date&gt;99201206301200000000222000&lt;/revision_date&gt;&lt;publication_date&gt;99201301011200000000222000&lt;/publication_date&gt;&lt;url&gt;http://linkinghub.elsevier.com/retrieve/pii/S0006322312006701&lt;/url&gt;&lt;type&gt;400&lt;/type&gt;&lt;title&gt;Effect of cognitive-behavioral therapy on neural correlates of fear conditioning in panic disorder.&lt;/title&gt;&lt;submission_date&gt;99201202071200000000222000&lt;/submission_date&gt;&lt;number&gt;1&lt;/number&gt;&lt;institution&gt;Department of Psychiatry and Psychotherapy, Philipps-University Marburg, Rudolf-Bultmann-Straße 8, Marburg, Germany. psychiat@med.uni-marburg.de&lt;/institution&gt;&lt;subtype&gt;400&lt;/subtype&gt;&lt;endpage&gt;101&lt;/endpage&gt;&lt;bundle&gt;&lt;publication&gt;&lt;publisher&gt;Elsevier&lt;/publisher&gt;&lt;title&gt;Biological psychiatry&lt;/title&gt;&lt;type&gt;-100&lt;/type&gt;&lt;subtype&gt;-100&lt;/subtype&gt;&lt;uuid&gt;717BE39E-4E25-4B1C-965F-EDA0171D623A&lt;/uuid&gt;&lt;/publication&gt;&lt;/bundle&gt;&lt;authors&gt;&lt;author&gt;&lt;firstName&gt;Tilo&lt;/firstName&gt;&lt;lastName&gt;Kircher&lt;/lastName&gt;&lt;/author&gt;&lt;author&gt;&lt;firstName&gt;Volker&lt;/firstName&gt;&lt;lastName&gt;Arolt&lt;/lastName&gt;&lt;/author&gt;&lt;author&gt;&lt;firstName&gt;Andreas&lt;/firstName&gt;&lt;lastName&gt;Jansen&lt;/lastName&gt;&lt;/author&gt;&lt;author&gt;&lt;firstName&gt;Martin&lt;/firstName&gt;&lt;lastName&gt;Pyka&lt;/lastName&gt;&lt;/author&gt;&lt;author&gt;&lt;firstName&gt;Isabelle&lt;/firstName&gt;&lt;lastName&gt;Reinhardt&lt;/lastName&gt;&lt;/author&gt;&lt;author&gt;&lt;firstName&gt;Thilo&lt;/firstName&gt;&lt;lastName&gt;Kellermann&lt;/lastName&gt;&lt;/author&gt;&lt;author&gt;&lt;firstName&gt;Carsten&lt;/firstName&gt;&lt;lastName&gt;Konrad&lt;/lastName&gt;&lt;/author&gt;&lt;author&gt;&lt;firstName&gt;Ulrike&lt;/firstName&gt;&lt;lastName&gt;Lueken&lt;/lastName&gt;&lt;/author&gt;&lt;author&gt;&lt;firstName&gt;Andrew&lt;/firstName&gt;&lt;middleNames&gt;T&lt;/middleNames&gt;&lt;lastName&gt;Gloster&lt;/lastName&gt;&lt;/author&gt;&lt;author&gt;&lt;firstName&gt;Alexander&lt;/firstName&gt;&lt;middleNames&gt;L&lt;/middleNames&gt;&lt;lastName&gt;Gerlach&lt;/lastName&gt;&lt;/author&gt;&lt;author&gt;&lt;firstName&gt;Andreas&lt;/firstName&gt;&lt;lastName&gt;Ströhle&lt;/lastName&gt;&lt;/author&gt;&lt;author&gt;&lt;firstName&gt;André&lt;/firstName&gt;&lt;lastName&gt;Wittmann&lt;/lastName&gt;&lt;/author&gt;&lt;author&gt;&lt;firstName&gt;Bettina&lt;/firstName&gt;&lt;lastName&gt;Pfleiderer&lt;/lastName&gt;&lt;/author&gt;&lt;author&gt;&lt;firstName&gt;Hans-Ulrich&lt;/firstName&gt;&lt;lastName&gt;Wittchen&lt;/lastName&gt;&lt;/author&gt;&lt;author&gt;&lt;firstName&gt;Benjamin&lt;/firstName&gt;&lt;lastName&gt;Straube&lt;/lastName&gt;&lt;/author&gt;&lt;/authors&gt;&lt;/publication&gt;&lt;/publications&gt;&lt;cites&gt;&lt;/cites&gt;&lt;/citation&gt;</w:instrText>
      </w:r>
      <w:r w:rsidRPr="00521E46">
        <w:rPr>
          <w:rFonts w:ascii="Arial" w:hAnsi="Arial" w:cs="Arial"/>
          <w:noProof/>
          <w:color w:val="000000" w:themeColor="text1"/>
          <w:szCs w:val="24"/>
          <w:highlight w:val="yellow"/>
        </w:rPr>
        <w:fldChar w:fldCharType="separate"/>
      </w:r>
      <w:r w:rsidRPr="00521E46">
        <w:rPr>
          <w:rFonts w:ascii="Helvetica" w:hAnsi="Helvetica" w:cs="Helvetica"/>
          <w:color w:val="000000" w:themeColor="text1"/>
          <w:vertAlign w:val="superscript"/>
        </w:rPr>
        <w:t>42</w:t>
      </w:r>
      <w:r w:rsidRPr="00521E46">
        <w:rPr>
          <w:rFonts w:ascii="Arial" w:hAnsi="Arial" w:cs="Arial"/>
          <w:noProof/>
          <w:color w:val="000000" w:themeColor="text1"/>
          <w:szCs w:val="24"/>
          <w:highlight w:val="yellow"/>
        </w:rPr>
        <w:fldChar w:fldCharType="end"/>
      </w:r>
      <w:r w:rsidRPr="00521E46">
        <w:rPr>
          <w:rFonts w:ascii="Arial" w:hAnsi="Arial" w:cs="Arial"/>
          <w:noProof/>
          <w:color w:val="000000" w:themeColor="text1"/>
          <w:szCs w:val="24"/>
        </w:rPr>
        <w:t xml:space="preserve"> All MR images were analyzed using Statistical Parametric Mapping (SPM5; www.fil.ion.ucl.ac.uk) implemented in MATLAB 6.5 (Mathworks Inc., Sherborn, MA). Axial functional images (n=505, EPI, matrix 64 x 64, 30 slices interleaved, FOV = 230. voxel size = 3.6 x 3.6 x 3.8 mm, TE = 30 ms, TR = 2 s), covering the whole brain and positioned parallel to the intercomissural line (AC-PC) as well as a 3D structural data set (MPRAGE, matrix 128 x 112; 88 slices; FOV = 256; voxel size = 2 x 2 x 2 mm; TE = 3.93 ms; TR = 1100 ms; flip angle = 9) were recorded. Temporal and spatial alignment and normalization into standard stereotactic space (2 x 2 x 2 mm) was performed. Acquisition and extinction phases were split into 1</w:t>
      </w:r>
      <w:r w:rsidRPr="00521E46">
        <w:rPr>
          <w:rFonts w:ascii="Arial" w:hAnsi="Arial" w:cs="Arial"/>
          <w:noProof/>
          <w:color w:val="000000" w:themeColor="text1"/>
          <w:szCs w:val="24"/>
          <w:vertAlign w:val="superscript"/>
        </w:rPr>
        <w:t>st</w:t>
      </w:r>
      <w:r w:rsidRPr="00521E46">
        <w:rPr>
          <w:rFonts w:ascii="Arial" w:hAnsi="Arial" w:cs="Arial"/>
          <w:noProof/>
          <w:color w:val="000000" w:themeColor="text1"/>
          <w:szCs w:val="24"/>
        </w:rPr>
        <w:t xml:space="preserve"> and 2</w:t>
      </w:r>
      <w:r w:rsidRPr="00521E46">
        <w:rPr>
          <w:rFonts w:ascii="Arial" w:hAnsi="Arial" w:cs="Arial"/>
          <w:noProof/>
          <w:color w:val="000000" w:themeColor="text1"/>
          <w:szCs w:val="24"/>
          <w:vertAlign w:val="superscript"/>
        </w:rPr>
        <w:t>nd</w:t>
      </w:r>
      <w:r w:rsidRPr="00521E46">
        <w:rPr>
          <w:rFonts w:ascii="Arial" w:hAnsi="Arial" w:cs="Arial"/>
          <w:noProof/>
          <w:color w:val="000000" w:themeColor="text1"/>
          <w:szCs w:val="24"/>
        </w:rPr>
        <w:t xml:space="preserve"> halves to assess time-dependent processes of fear conditioning and extinction training.</w:t>
      </w:r>
      <w:r w:rsidRPr="00521E46">
        <w:rPr>
          <w:rFonts w:ascii="Arial" w:hAnsi="Arial" w:cs="Arial"/>
          <w:noProof/>
          <w:color w:val="000000" w:themeColor="text1"/>
          <w:szCs w:val="24"/>
        </w:rPr>
        <w:fldChar w:fldCharType="begin"/>
      </w:r>
      <w:r w:rsidRPr="00521E46">
        <w:rPr>
          <w:rFonts w:ascii="Arial" w:hAnsi="Arial" w:cs="Arial"/>
          <w:noProof/>
          <w:color w:val="000000" w:themeColor="text1"/>
          <w:szCs w:val="24"/>
        </w:rPr>
        <w:instrText xml:space="preserve"> ADDIN PAPERS2_CITATIONS &lt;citation&gt;&lt;uuid&gt;A8BD3023-4E09-49C3-ACE9-7DE1B8F91882&lt;/uuid&gt;&lt;priority&gt;0&lt;/priority&gt;&lt;publications&gt;&lt;publication&gt;&lt;volume&gt;20&lt;/volume&gt;&lt;publication_date&gt;99199805001200000000220000&lt;/publication_date&gt;&lt;number&gt;5&lt;/number&gt;&lt;institution&gt;The Wellcome Department of Cognitive Neurology, Institute of Neurology, London, United Kingdom.&lt;/institution&gt;&lt;startpage&gt;947&lt;/startpage&gt;&lt;title&gt;Brain systems mediating aversive conditioning: an event-related fMRI study.&lt;/title&gt;&lt;uuid&gt;7CD7E603-B0E5-499A-92DF-09BB95AD5F76&lt;/uuid&gt;&lt;subtype&gt;400&lt;/subtype&gt;&lt;endpage&gt;957&lt;/endpage&gt;&lt;type&gt;400&lt;/type&gt;&lt;url&gt;http://eutils.ncbi.nlm.nih.gov/entrez/eutils/elink.fcgi?dbfrom=pubmed&amp;amp;id=9620699&amp;amp;retmode=ref&amp;amp;cmd=prlinks&lt;/url&gt;&lt;bundle&gt;&lt;publication&gt;&lt;publisher&gt;Elsevier Inc.&lt;/publisher&gt;&lt;url&gt;http://www.cell.com/neuron/&lt;/url&gt;&lt;title&gt;Neuron&lt;/title&gt;&lt;type&gt;-100&lt;/type&gt;&lt;subtype&gt;-100&lt;/subtype&gt;&lt;uuid&gt;2F56722F-4C63-48B6-A4A8-E679205624DE&lt;/uuid&gt;&lt;/publication&gt;&lt;/bundle&gt;&lt;authors&gt;&lt;author&gt;&lt;firstName&gt;C&lt;/firstName&gt;&lt;lastName&gt;Büchel&lt;/lastName&gt;&lt;/author&gt;&lt;author&gt;&lt;firstName&gt;J&lt;/firstName&gt;&lt;lastName&gt;Morris&lt;/lastName&gt;&lt;/author&gt;&lt;author&gt;&lt;firstName&gt;R&lt;/firstName&gt;&lt;middleNames&gt;J&lt;/middleNames&gt;&lt;lastName&gt;Dolan&lt;/lastName&gt;&lt;/author&gt;&lt;author&gt;&lt;firstName&gt;K&lt;/firstName&gt;&lt;middleNames&gt;J&lt;/middleNames&gt;&lt;lastName&gt;Friston&lt;/lastName&gt;&lt;/author&gt;&lt;/authors&gt;&lt;/publication&gt;&lt;/publications&gt;&lt;cites&gt;&lt;/cites&gt;&lt;/citation&gt;</w:instrText>
      </w:r>
      <w:r w:rsidRPr="00521E46">
        <w:rPr>
          <w:rFonts w:ascii="Arial" w:hAnsi="Arial" w:cs="Arial"/>
          <w:noProof/>
          <w:color w:val="000000" w:themeColor="text1"/>
          <w:szCs w:val="24"/>
        </w:rPr>
        <w:fldChar w:fldCharType="separate"/>
      </w:r>
      <w:r w:rsidRPr="00521E46">
        <w:rPr>
          <w:rFonts w:ascii="Helvetica" w:hAnsi="Helvetica" w:cs="Helvetica"/>
          <w:color w:val="000000" w:themeColor="text1"/>
          <w:vertAlign w:val="superscript"/>
        </w:rPr>
        <w:t>43</w:t>
      </w:r>
      <w:r w:rsidRPr="00521E46">
        <w:rPr>
          <w:rFonts w:ascii="Arial" w:hAnsi="Arial" w:cs="Arial"/>
          <w:noProof/>
          <w:color w:val="000000" w:themeColor="text1"/>
          <w:szCs w:val="24"/>
        </w:rPr>
        <w:fldChar w:fldCharType="end"/>
      </w:r>
      <w:r w:rsidRPr="00521E46">
        <w:rPr>
          <w:rFonts w:ascii="Arial" w:hAnsi="Arial" w:cs="Arial"/>
          <w:noProof/>
          <w:color w:val="000000" w:themeColor="text1"/>
          <w:szCs w:val="24"/>
        </w:rPr>
        <w:t xml:space="preserve"> Realignment parameters of each subject were considered to account for movement artifacts. Blood oxygen level-dependent (BOLD) responses for each event type (CS+ paired, CS+ unpaired, CS-, US) and phase (F, 1</w:t>
      </w:r>
      <w:r w:rsidRPr="00521E46">
        <w:rPr>
          <w:rFonts w:ascii="Arial" w:hAnsi="Arial" w:cs="Arial"/>
          <w:noProof/>
          <w:color w:val="000000" w:themeColor="text1"/>
          <w:szCs w:val="24"/>
          <w:vertAlign w:val="superscript"/>
        </w:rPr>
        <w:t>st</w:t>
      </w:r>
      <w:r w:rsidRPr="00521E46">
        <w:rPr>
          <w:rFonts w:ascii="Arial" w:hAnsi="Arial" w:cs="Arial"/>
          <w:noProof/>
          <w:color w:val="000000" w:themeColor="text1"/>
          <w:szCs w:val="24"/>
        </w:rPr>
        <w:t xml:space="preserve"> half A, 2</w:t>
      </w:r>
      <w:r w:rsidRPr="00521E46">
        <w:rPr>
          <w:rFonts w:ascii="Arial" w:hAnsi="Arial" w:cs="Arial"/>
          <w:noProof/>
          <w:color w:val="000000" w:themeColor="text1"/>
          <w:szCs w:val="24"/>
          <w:vertAlign w:val="superscript"/>
        </w:rPr>
        <w:t>nd</w:t>
      </w:r>
      <w:r w:rsidRPr="00521E46">
        <w:rPr>
          <w:rFonts w:ascii="Arial" w:hAnsi="Arial" w:cs="Arial"/>
          <w:noProof/>
          <w:color w:val="000000" w:themeColor="text1"/>
          <w:szCs w:val="24"/>
        </w:rPr>
        <w:t xml:space="preserve"> half A, 1</w:t>
      </w:r>
      <w:r w:rsidRPr="00521E46">
        <w:rPr>
          <w:rFonts w:ascii="Arial" w:hAnsi="Arial" w:cs="Arial"/>
          <w:noProof/>
          <w:color w:val="000000" w:themeColor="text1"/>
          <w:szCs w:val="24"/>
          <w:vertAlign w:val="superscript"/>
        </w:rPr>
        <w:t>st</w:t>
      </w:r>
      <w:r w:rsidRPr="00521E46">
        <w:rPr>
          <w:rFonts w:ascii="Arial" w:hAnsi="Arial" w:cs="Arial"/>
          <w:noProof/>
          <w:color w:val="000000" w:themeColor="text1"/>
          <w:szCs w:val="24"/>
        </w:rPr>
        <w:t xml:space="preserve"> half E, 2</w:t>
      </w:r>
      <w:r w:rsidRPr="00521E46">
        <w:rPr>
          <w:rFonts w:ascii="Arial" w:hAnsi="Arial" w:cs="Arial"/>
          <w:noProof/>
          <w:color w:val="000000" w:themeColor="text1"/>
          <w:szCs w:val="24"/>
          <w:vertAlign w:val="superscript"/>
        </w:rPr>
        <w:t>nd</w:t>
      </w:r>
      <w:r w:rsidRPr="00521E46">
        <w:rPr>
          <w:rFonts w:ascii="Arial" w:hAnsi="Arial" w:cs="Arial"/>
          <w:noProof/>
          <w:color w:val="000000" w:themeColor="text1"/>
          <w:szCs w:val="24"/>
        </w:rPr>
        <w:t xml:space="preserve"> half E) were modeled by the canonical hemodynamic response function within the general linear model.</w:t>
      </w:r>
    </w:p>
    <w:p w:rsidR="0005049E" w:rsidRPr="00521E46" w:rsidRDefault="0005049E" w:rsidP="0005049E">
      <w:pPr>
        <w:spacing w:before="120" w:after="120" w:line="360" w:lineRule="auto"/>
        <w:rPr>
          <w:rFonts w:ascii="Arial" w:hAnsi="Arial" w:cs="Arial"/>
          <w:i/>
          <w:color w:val="000000" w:themeColor="text1"/>
          <w:lang w:val="en-US"/>
        </w:rPr>
      </w:pPr>
    </w:p>
    <w:p w:rsidR="0005049E" w:rsidRPr="00521E46" w:rsidRDefault="0005049E" w:rsidP="0005049E">
      <w:pPr>
        <w:spacing w:before="120" w:after="120" w:line="360" w:lineRule="auto"/>
        <w:rPr>
          <w:rFonts w:ascii="Arial" w:hAnsi="Arial" w:cs="Arial"/>
          <w:i/>
          <w:color w:val="000000" w:themeColor="text1"/>
          <w:lang w:val="en-US"/>
        </w:rPr>
      </w:pPr>
      <w:r w:rsidRPr="00521E46">
        <w:rPr>
          <w:rFonts w:ascii="Arial" w:hAnsi="Arial" w:cs="Arial"/>
          <w:i/>
          <w:color w:val="000000" w:themeColor="text1"/>
          <w:lang w:val="en-US"/>
        </w:rPr>
        <w:t>Behavioral avoidance test</w:t>
      </w:r>
    </w:p>
    <w:p w:rsidR="0005049E" w:rsidRPr="00521E46" w:rsidRDefault="0005049E" w:rsidP="0005049E">
      <w:pPr>
        <w:spacing w:before="120" w:after="120" w:line="360" w:lineRule="auto"/>
        <w:jc w:val="both"/>
        <w:rPr>
          <w:rFonts w:ascii="Arial" w:hAnsi="Arial" w:cs="Arial"/>
          <w:color w:val="000000" w:themeColor="text1"/>
          <w:lang w:val="en-US"/>
        </w:rPr>
      </w:pPr>
      <w:r w:rsidRPr="00521E46">
        <w:rPr>
          <w:rFonts w:ascii="Arial" w:hAnsi="Arial" w:cs="Arial"/>
          <w:color w:val="000000" w:themeColor="text1"/>
          <w:lang w:val="en-US"/>
        </w:rPr>
        <w:t xml:space="preserve">The behavioral avoidance test (BAT) procedure was conducted in three phases. Patients were first instructed to sit in front of an open test chamber (75 × 120 × 190 cm) for 10 min (anticipation phase). Next, patients were locked in the dark chamber and instructed to stay as long as possible for a maximum time of 10 min (exposure phase). Terminating exposure was always possible. Subsequently, patients again sat in front of the opened chamber (recovery phase). Upon completion of each BAT phase, participants were instructed to rate the intensity of experienced anxiety during the last period on a visual analogue scale from 1 to 10 and asked, whether they have experienced a panic attack. The tolerated duration of exposure was obtained as an </w:t>
      </w:r>
      <w:r w:rsidRPr="00521E46">
        <w:rPr>
          <w:rFonts w:ascii="Arial" w:hAnsi="Arial" w:cs="Arial"/>
          <w:color w:val="000000" w:themeColor="text1"/>
          <w:lang w:val="en-US"/>
        </w:rPr>
        <w:lastRenderedPageBreak/>
        <w:t xml:space="preserve">index of behavioral fear response. An electrocardiogram (ECG) was continuously monitored during the whole procedure. </w:t>
      </w:r>
    </w:p>
    <w:p w:rsidR="00E8406D" w:rsidRPr="0005049E" w:rsidRDefault="00E8406D">
      <w:pPr>
        <w:rPr>
          <w:lang w:val="en-US"/>
        </w:rPr>
      </w:pPr>
      <w:bookmarkStart w:id="0" w:name="_GoBack"/>
      <w:bookmarkEnd w:id="0"/>
    </w:p>
    <w:sectPr w:rsidR="00E8406D" w:rsidRPr="0005049E" w:rsidSect="00DA569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F08" w:rsidRDefault="0005049E" w:rsidP="009A169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47F08" w:rsidRDefault="000504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F08" w:rsidRDefault="0005049E" w:rsidP="009A169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39</w:t>
    </w:r>
    <w:r>
      <w:rPr>
        <w:rStyle w:val="Seitenzahl"/>
      </w:rPr>
      <w:fldChar w:fldCharType="end"/>
    </w:r>
  </w:p>
  <w:p w:rsidR="00747F08" w:rsidRDefault="0005049E">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9E"/>
    <w:rsid w:val="0005049E"/>
    <w:rsid w:val="00DA569F"/>
    <w:rsid w:val="00E84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BC824EA"/>
  <w14:defaultImageDpi w14:val="32767"/>
  <w15:chartTrackingRefBased/>
  <w15:docId w15:val="{99978615-0A4B-6E44-A35C-641445F4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5049E"/>
    <w:rPr>
      <w:rFonts w:ascii="Times New Roman" w:eastAsia="Calibri"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nettelaufenderText">
    <w:name w:val="Annette laufender Text"/>
    <w:link w:val="AnnettelaufenderTextZchn"/>
    <w:qFormat/>
    <w:rsid w:val="0005049E"/>
    <w:pPr>
      <w:spacing w:before="240" w:after="240" w:line="360" w:lineRule="auto"/>
      <w:jc w:val="both"/>
    </w:pPr>
    <w:rPr>
      <w:rFonts w:ascii="Calibri" w:eastAsia="Calibri" w:hAnsi="Calibri" w:cs="Times New Roman"/>
      <w:szCs w:val="22"/>
      <w:lang w:val="en-US"/>
    </w:rPr>
  </w:style>
  <w:style w:type="character" w:customStyle="1" w:styleId="AnnettelaufenderTextZchn">
    <w:name w:val="Annette laufender Text Zchn"/>
    <w:link w:val="AnnettelaufenderText"/>
    <w:rsid w:val="0005049E"/>
    <w:rPr>
      <w:rFonts w:ascii="Calibri" w:eastAsia="Calibri" w:hAnsi="Calibri" w:cs="Times New Roman"/>
      <w:szCs w:val="22"/>
      <w:lang w:val="en-US"/>
    </w:rPr>
  </w:style>
  <w:style w:type="paragraph" w:styleId="Fuzeile">
    <w:name w:val="footer"/>
    <w:basedOn w:val="Standard"/>
    <w:link w:val="FuzeileZchn"/>
    <w:uiPriority w:val="99"/>
    <w:unhideWhenUsed/>
    <w:rsid w:val="0005049E"/>
    <w:pPr>
      <w:tabs>
        <w:tab w:val="center" w:pos="4536"/>
        <w:tab w:val="right" w:pos="9072"/>
      </w:tabs>
    </w:pPr>
    <w:rPr>
      <w:rFonts w:ascii="Calibri" w:hAnsi="Calibri"/>
      <w:sz w:val="22"/>
      <w:szCs w:val="22"/>
      <w:lang w:val="en-US" w:eastAsia="en-US"/>
    </w:rPr>
  </w:style>
  <w:style w:type="character" w:customStyle="1" w:styleId="FuzeileZchn">
    <w:name w:val="Fußzeile Zchn"/>
    <w:basedOn w:val="Absatz-Standardschriftart"/>
    <w:link w:val="Fuzeile"/>
    <w:uiPriority w:val="99"/>
    <w:rsid w:val="0005049E"/>
    <w:rPr>
      <w:rFonts w:ascii="Calibri" w:eastAsia="Calibri" w:hAnsi="Calibri" w:cs="Times New Roman"/>
      <w:sz w:val="22"/>
      <w:szCs w:val="22"/>
      <w:lang w:val="en-US"/>
    </w:rPr>
  </w:style>
  <w:style w:type="character" w:styleId="Seitenzahl">
    <w:name w:val="page number"/>
    <w:uiPriority w:val="99"/>
    <w:semiHidden/>
    <w:unhideWhenUsed/>
    <w:rsid w:val="0005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2215</Words>
  <Characters>13959</Characters>
  <Application>Microsoft Office Word</Application>
  <DocSecurity>0</DocSecurity>
  <Lines>116</Lines>
  <Paragraphs>32</Paragraphs>
  <ScaleCrop>false</ScaleCrop>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2018-08-06T13:48:00Z</dcterms:created>
  <dcterms:modified xsi:type="dcterms:W3CDTF">2018-08-06T13:49:00Z</dcterms:modified>
</cp:coreProperties>
</file>