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A3" w:rsidRPr="00AC675D" w:rsidRDefault="00027C8C" w:rsidP="0085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Supplemental Table 1</w:t>
      </w:r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 xml:space="preserve">: Age-standardized characteristics of person-years according to quintiles of </w:t>
      </w:r>
      <w:proofErr w:type="spellStart"/>
      <w:r w:rsidR="008576A3" w:rsidRPr="00AC675D">
        <w:rPr>
          <w:rFonts w:ascii="Times New Roman" w:eastAsia="Times New Roman" w:hAnsi="Times New Roman" w:cs="Times New Roman"/>
          <w:b/>
          <w:bCs/>
          <w:sz w:val="24"/>
          <w:szCs w:val="24"/>
        </w:rPr>
        <w:t>flavonols</w:t>
      </w:r>
      <w:proofErr w:type="spellEnd"/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 xml:space="preserve"> intake in the Nurses' Health Study and in the Health Professionals Follow-Up Study</w:t>
      </w:r>
    </w:p>
    <w:tbl>
      <w:tblPr>
        <w:tblW w:w="11859" w:type="dxa"/>
        <w:tblInd w:w="93" w:type="dxa"/>
        <w:tblLook w:val="04A0" w:firstRow="1" w:lastRow="0" w:firstColumn="1" w:lastColumn="0" w:noHBand="0" w:noVBand="1"/>
      </w:tblPr>
      <w:tblGrid>
        <w:gridCol w:w="3420"/>
        <w:gridCol w:w="1351"/>
        <w:gridCol w:w="1351"/>
        <w:gridCol w:w="1351"/>
        <w:gridCol w:w="1462"/>
        <w:gridCol w:w="1462"/>
        <w:gridCol w:w="1462"/>
      </w:tblGrid>
      <w:tr w:rsidR="008576A3" w:rsidRPr="008576A3" w:rsidTr="008576A3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Health Professionals Follow-up Study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Nurses' Health Study </w:t>
            </w:r>
          </w:p>
        </w:tc>
      </w:tr>
      <w:tr w:rsidR="008576A3" w:rsidRPr="008576A3" w:rsidTr="00253299">
        <w:trPr>
          <w:trHeight w:val="255"/>
        </w:trPr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Age at baseline (y)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52.0(9.6)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52.3(9.3)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52.8(9.2)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49.7(7.2)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50.2(7.1)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50.1(7.1)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BMI (kg/m</w:t>
            </w:r>
            <w:r w:rsidRPr="0025329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26.1(3.7)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25.8(3.4)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25.9(3.6)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26.5(5.5)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26.0(5.1)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26.1(5.1)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Physical activity, METs/per week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28.0(35.2)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34.5(39.1)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36.8(43.4)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13.2(18.5)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17.9(22.2)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18.9(23.9)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Current/past smokers (%)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Pack-years of smoking before age 30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11.2(6.5)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10.7(6.5)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11.1(6.8)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7.2(5.2)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6.9(5.3)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6.9(5.5)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Family history (%)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History of previous endoscopy (%)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Regular aspirin or NSAID use (%)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Dietary intake of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Alcohol (gm/day)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7.8(13.0)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11.6(14.2)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12.8(16.9)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4.6(9.8)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6.0(9.9)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5.8(10.6)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Calcium (</w:t>
            </w:r>
            <w:proofErr w:type="spellStart"/>
            <w:r w:rsidRPr="00253299">
              <w:rPr>
                <w:rFonts w:ascii="Arial" w:eastAsia="Times New Roman" w:hAnsi="Arial" w:cs="Arial"/>
                <w:sz w:val="20"/>
                <w:szCs w:val="20"/>
              </w:rPr>
              <w:t>mgm</w:t>
            </w:r>
            <w:proofErr w:type="spellEnd"/>
            <w:r w:rsidRPr="00253299">
              <w:rPr>
                <w:rFonts w:ascii="Arial" w:eastAsia="Times New Roman" w:hAnsi="Arial" w:cs="Arial"/>
                <w:sz w:val="20"/>
                <w:szCs w:val="20"/>
              </w:rPr>
              <w:t>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979.2(478.5)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960.6(449.2)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962.1(469.2)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1120.5(600.4)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1186.5(585.5)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1181.9(603.2)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Vitamin D (IU/day)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431.5(303.2)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450.6(304.0)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459.5(330.7)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402.6(301.6)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430.0(302.1)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429.0(312.9)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Red meat (g/day)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70.1(53.6)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60.0(46.1)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55.0(47.3)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59.2(43.2)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54.0(38.7)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51.7(39.4)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Processed meat (g/day)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12.6(16.1)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10.3(12.8)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8.7(12.2)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9.7(11.8)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7.9(9.5)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7.4(9.8)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Total flavonoids (mg/day)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150.4(67.5)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284.4(102.7)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690.3(415.8)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135.2(76.2)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268.7(107.6)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743.8(452.0)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3299">
              <w:rPr>
                <w:rFonts w:ascii="Arial" w:eastAsia="Times New Roman" w:hAnsi="Arial" w:cs="Arial"/>
                <w:sz w:val="20"/>
                <w:szCs w:val="20"/>
              </w:rPr>
              <w:t>Flavonols</w:t>
            </w:r>
            <w:proofErr w:type="spellEnd"/>
            <w:r w:rsidRPr="00253299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7.7(2.3)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15.7(3.0)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36.1(14.4)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6.7(1.9)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14.1(2.2)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35.3(13.1)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Flavones (mg/d)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1.8(1.3)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2.8(1.8)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3.4(2.7)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1.5(1.2)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2.3(1.5)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2.5(2.0)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Flavanones (mg/day)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40.3(37.5)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56.3(44.9)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59.3(50.6)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32.8(33.6)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45.2(37.6)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45.0(40.1)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Flavan-3ols (mg/day)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13.1(7.9)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31.6(18.4)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114.5(97.0)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11.1(7.0)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29.9(18.8)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135.9(106.7)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3299">
              <w:rPr>
                <w:rFonts w:ascii="Arial" w:eastAsia="Times New Roman" w:hAnsi="Arial" w:cs="Arial"/>
                <w:sz w:val="20"/>
                <w:szCs w:val="20"/>
              </w:rPr>
              <w:t>Anthocyanins</w:t>
            </w:r>
            <w:proofErr w:type="spellEnd"/>
            <w:r w:rsidRPr="00253299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7.2(8.0)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15.3(16.1)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22.2(31.9)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7.3(8.1)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15.4(16.2)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19.7(27.3)</w:t>
            </w:r>
          </w:p>
        </w:tc>
      </w:tr>
      <w:tr w:rsidR="00253299" w:rsidRPr="008576A3" w:rsidTr="00253299">
        <w:trPr>
          <w:trHeight w:val="2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99" w:rsidRPr="00253299" w:rsidRDefault="00253299" w:rsidP="00253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299">
              <w:rPr>
                <w:rFonts w:ascii="Arial" w:eastAsia="Times New Roman" w:hAnsi="Arial" w:cs="Arial"/>
                <w:sz w:val="20"/>
                <w:szCs w:val="20"/>
              </w:rPr>
              <w:t>Polymers (mg/day)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79.9(43.8)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163.5(74.8)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459.7(321.4)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70.2(38.5)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157.1(68.8)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3299" w:rsidRP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299">
              <w:rPr>
                <w:rFonts w:ascii="Arial" w:hAnsi="Arial" w:cs="Arial"/>
                <w:color w:val="000000"/>
                <w:sz w:val="20"/>
                <w:szCs w:val="20"/>
              </w:rPr>
              <w:t>516.2(346.8)</w:t>
            </w:r>
          </w:p>
        </w:tc>
      </w:tr>
    </w:tbl>
    <w:p w:rsidR="008576A3" w:rsidRPr="00AC675D" w:rsidRDefault="008576A3">
      <w:pPr>
        <w:rPr>
          <w:rFonts w:ascii="Times New Roman" w:hAnsi="Times New Roman" w:cs="Times New Roman"/>
        </w:rPr>
      </w:pPr>
      <w:r w:rsidRPr="00AC675D">
        <w:rPr>
          <w:rFonts w:ascii="Times New Roman" w:hAnsi="Times New Roman" w:cs="Times New Roman"/>
          <w:sz w:val="24"/>
        </w:rPr>
        <w:t xml:space="preserve">NOTE: All variables (except age) are age-standardized; Continuous variables are described as mean (standard deviation); Physical activity is described  by the product sum of the metabolic </w:t>
      </w:r>
      <w:proofErr w:type="spellStart"/>
      <w:r w:rsidRPr="00AC675D">
        <w:rPr>
          <w:rFonts w:ascii="Times New Roman" w:hAnsi="Times New Roman" w:cs="Times New Roman"/>
          <w:sz w:val="24"/>
        </w:rPr>
        <w:t>equivalen</w:t>
      </w:r>
      <w:proofErr w:type="spellEnd"/>
      <w:r w:rsidRPr="00AC675D">
        <w:rPr>
          <w:rFonts w:ascii="Times New Roman" w:hAnsi="Times New Roman" w:cs="Times New Roman"/>
          <w:sz w:val="24"/>
        </w:rPr>
        <w:t xml:space="preserve"> (MET) of each specific recreational activity and hours spent on the activity per week. Regular aspirin use is defined as ≥2 standard (325-mg) tablets of aspirin or ≥2 tablets of non-</w:t>
      </w:r>
      <w:proofErr w:type="spellStart"/>
      <w:r w:rsidRPr="00AC675D">
        <w:rPr>
          <w:rFonts w:ascii="Times New Roman" w:hAnsi="Times New Roman" w:cs="Times New Roman"/>
          <w:sz w:val="24"/>
        </w:rPr>
        <w:t>steriodal</w:t>
      </w:r>
      <w:proofErr w:type="spellEnd"/>
      <w:r w:rsidRPr="00AC675D">
        <w:rPr>
          <w:rFonts w:ascii="Times New Roman" w:hAnsi="Times New Roman" w:cs="Times New Roman"/>
          <w:sz w:val="24"/>
        </w:rPr>
        <w:t xml:space="preserve"> anti-inflammatory drugs (NSAIDs) per week.</w:t>
      </w:r>
      <w:r w:rsidRPr="00AC675D">
        <w:rPr>
          <w:rFonts w:ascii="Times New Roman" w:hAnsi="Times New Roman" w:cs="Times New Roman"/>
        </w:rPr>
        <w:br w:type="page"/>
      </w:r>
    </w:p>
    <w:p w:rsidR="008576A3" w:rsidRPr="00AC675D" w:rsidRDefault="00027C8C" w:rsidP="0085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Supplemental Table 2</w:t>
      </w:r>
      <w:proofErr w:type="gramStart"/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>:Age</w:t>
      </w:r>
      <w:proofErr w:type="gramEnd"/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 xml:space="preserve">-standardized characteristics of person-years according to quintiles of </w:t>
      </w:r>
      <w:r w:rsidR="008576A3" w:rsidRPr="00AC675D">
        <w:rPr>
          <w:rFonts w:ascii="Times New Roman" w:eastAsia="Times New Roman" w:hAnsi="Times New Roman" w:cs="Times New Roman"/>
          <w:b/>
          <w:bCs/>
          <w:sz w:val="24"/>
          <w:szCs w:val="24"/>
        </w:rPr>
        <w:t>flavones</w:t>
      </w:r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 xml:space="preserve"> intake in the Nurses' Health Study and in the Health Professionals Follow-Up Study</w:t>
      </w:r>
    </w:p>
    <w:tbl>
      <w:tblPr>
        <w:tblW w:w="11859" w:type="dxa"/>
        <w:tblInd w:w="93" w:type="dxa"/>
        <w:tblLook w:val="04A0" w:firstRow="1" w:lastRow="0" w:firstColumn="1" w:lastColumn="0" w:noHBand="0" w:noVBand="1"/>
      </w:tblPr>
      <w:tblGrid>
        <w:gridCol w:w="3420"/>
        <w:gridCol w:w="1351"/>
        <w:gridCol w:w="1351"/>
        <w:gridCol w:w="1351"/>
        <w:gridCol w:w="1462"/>
        <w:gridCol w:w="1462"/>
        <w:gridCol w:w="1462"/>
      </w:tblGrid>
      <w:tr w:rsidR="008576A3" w:rsidRPr="008576A3" w:rsidTr="008576A3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Health Professionals Follow-up Study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Nurses' Health Study </w:t>
            </w:r>
          </w:p>
        </w:tc>
      </w:tr>
      <w:tr w:rsidR="008576A3" w:rsidRPr="008576A3" w:rsidTr="008576A3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Age at baseline (y)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51.1(9.2)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52.5(9.3)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53.5(9.5)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51.5(7.0)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BMI (kg/m2)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26.2(3.7)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25.9(3.5)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25.7(3.4)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26.5(5.5)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26.3(5.2)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25.7(4.9)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Physical activity, METs/per week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28.7(37.1)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34.0(39.1)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37.1(42.1)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13.4(19.4)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17.6(22.1)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19.5(24.3)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Current/past smokers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Pack-years of smoking before age 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11.7(6.7)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10.5(6.3)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10.8(6.6)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7.4(5.4)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6.8(5.3)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6.9(5.4)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Family history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History of previous endoscopy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Regular aspirin or NSAID use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41.3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Dietary intake of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Alcohol (gm/day)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10.1(15.9)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11.0(14.0)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12.7(16.1)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4.8(10.7)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5.5(9.4)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7.0(11.4)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Calcium (</w:t>
            </w: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mgm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940.5(481.0)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965.4(440.0)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994.3(473.8)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1091.0(602.9)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1175.5(573.5)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1225.9(613.5)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Vitamin D (IU/day)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421.5(309.5)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447.0(303.1)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478.9(328.7)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399.6(311.2)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423.8(296.8)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441.3(313.6)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71.9(55.2)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64.3(47.3)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46.4(40.2)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60.8(44.7)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57.6(40.2)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44.6(33.8)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Processed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12.8(16.4)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10.9(13.1)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7.6(11.2)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9.7(12.2)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8.7(10.3)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6.2(8.5)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Total flavonoids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265.4(299.4)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330.1(249.2)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446.6(281.1)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286.0(344.4)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334.6(289.8)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413.5(305.7)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Flavonols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14.8(11.4)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18.1(11.1)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22.8(13.3)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14.2(11.9)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17.1(11.2)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20.1(12.2)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Flavones (mg/d)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0.8(0.3)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2.4(0.4)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5.5(2.7)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0.6(0.2)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1.9(0.3)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4.4(2.1)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Flavanones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14.1(16.8)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48.4(21.3)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106.8(58.7)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10.1(14.6)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37.4(18.2)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86.9(46.3)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Flavan-3ols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43.5(66.8)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43.6(53.1)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50.6(57.5)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48.7(77.8)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47.2(63.6)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51.7(66.1)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Anthocyanins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9.0(14.7)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14.9(19.7)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21.5(25.6)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9.3(14.4)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14.7(18.1)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19.2(23.0)</w:t>
            </w:r>
          </w:p>
        </w:tc>
      </w:tr>
      <w:tr w:rsidR="00253299" w:rsidRPr="008576A3" w:rsidTr="008576A3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Polymers (mg/day)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184.3(227.2)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202.9(187.9)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243.1(209.9)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200.7(259.6)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212.2(216.4)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235.2(227.8)</w:t>
            </w:r>
          </w:p>
        </w:tc>
      </w:tr>
    </w:tbl>
    <w:p w:rsidR="008576A3" w:rsidRPr="00AC675D" w:rsidRDefault="008576A3">
      <w:pPr>
        <w:rPr>
          <w:rFonts w:ascii="Times New Roman" w:hAnsi="Times New Roman" w:cs="Times New Roman"/>
          <w:sz w:val="24"/>
          <w:szCs w:val="24"/>
        </w:rPr>
      </w:pPr>
      <w:r w:rsidRPr="00AC675D">
        <w:rPr>
          <w:rFonts w:ascii="Times New Roman" w:hAnsi="Times New Roman" w:cs="Times New Roman"/>
          <w:sz w:val="24"/>
          <w:szCs w:val="24"/>
        </w:rPr>
        <w:t xml:space="preserve">NOTE: All variables (except age) are age-standardized; Continuous variables are described as mean (standard deviation); Physical activity is described  by the product sum of the metabolic 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equivalen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(MET) of each specific recreational activity and hours spent on the activity per week. Regular aspirin use is defined as ≥2 standard (325-mg) tablets of aspirin or ≥2 tablets of non-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steriodal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anti-inflammatory drugs (NSAIDs) per week.</w:t>
      </w:r>
      <w:r w:rsidRPr="00AC675D">
        <w:rPr>
          <w:rFonts w:ascii="Times New Roman" w:hAnsi="Times New Roman" w:cs="Times New Roman"/>
          <w:sz w:val="24"/>
          <w:szCs w:val="24"/>
        </w:rPr>
        <w:br w:type="page"/>
      </w:r>
    </w:p>
    <w:p w:rsidR="008576A3" w:rsidRPr="00AC675D" w:rsidRDefault="008576A3" w:rsidP="0085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Table </w:t>
      </w:r>
      <w:r w:rsidR="00027C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: Age-standardized characteristics of person-years according to quintiles of </w:t>
      </w:r>
      <w:r w:rsidRPr="00AC675D">
        <w:rPr>
          <w:rFonts w:ascii="Times New Roman" w:eastAsia="Times New Roman" w:hAnsi="Times New Roman" w:cs="Times New Roman"/>
          <w:b/>
          <w:bCs/>
          <w:sz w:val="24"/>
          <w:szCs w:val="24"/>
        </w:rPr>
        <w:t>flavanones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 intake in the Nurses' Health Study and in the Health Professionals Follow-Up Study</w:t>
      </w:r>
    </w:p>
    <w:tbl>
      <w:tblPr>
        <w:tblW w:w="11970" w:type="dxa"/>
        <w:tblInd w:w="93" w:type="dxa"/>
        <w:tblLook w:val="04A0" w:firstRow="1" w:lastRow="0" w:firstColumn="1" w:lastColumn="0" w:noHBand="0" w:noVBand="1"/>
      </w:tblPr>
      <w:tblGrid>
        <w:gridCol w:w="3420"/>
        <w:gridCol w:w="1351"/>
        <w:gridCol w:w="1351"/>
        <w:gridCol w:w="1462"/>
        <w:gridCol w:w="1462"/>
        <w:gridCol w:w="1462"/>
        <w:gridCol w:w="1462"/>
      </w:tblGrid>
      <w:tr w:rsidR="008576A3" w:rsidRPr="008576A3" w:rsidTr="008576A3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Health Professionals Follow-up Study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Nurses' Health Study </w:t>
            </w:r>
          </w:p>
        </w:tc>
      </w:tr>
      <w:tr w:rsidR="008576A3" w:rsidRPr="008576A3" w:rsidTr="008576A3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Age at baseline (y)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51.0(9.0)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52.4(9.4)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53.9(9.6)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51.8(6.9)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BMI (kg/m2)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26.2(3.7)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25.9(3.5)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25.6(3.4)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26.4(5.5)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26.3(5.2)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25.7(4.9)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Physical activity, METs/per week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29.8(37.9)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34.4(39.1)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35.7(41.1)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14.5(20.5)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17.8(22.3)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18.3(23.6)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Current/past smokers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Pack-years of smoking before age 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11.7(6.8)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10.6(6.3)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10.7(6.6)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7.4(5.5)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6.8(5.3)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6.8(5.4)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Family history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History of previous endoscopy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Regular aspirin or NSAID use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Dietary intake of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Alcohol (gm/day)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11.7(16.7)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12.0(15.4)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8.8(12.0)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5.5(11.0)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5.9(10.1)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5.0(8.8)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Calcium (</w:t>
            </w: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mgm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938.7(483.7)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959.5(430.2)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1008.6(484.4)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1108.5(604.8)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1161.7(557.8)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1228.2(629.9)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Vitamin D (IU/day)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429.5(318.7)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442.5(299.1)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481.0(330.3)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406.2(316.7)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417.7(289.0)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443.3(317.9)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70.0(54.8)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67.1(49.4)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44.8(38.7)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60.3(45.1)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59.7(40.7)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42.6(32.0)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Processed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12.3(16.1)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11.5(13.7)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7.3(10.6)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9.4(12.2)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9.1(10.6)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5.9(7.7)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Total flavonoids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282.2(306.4)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328.3(250.7)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433.1(281.9)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299.5(348.2)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330.2(278.0)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407.6(316.3)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Flavonols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17.1(12.8)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18.1(11.4)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20.2(12.3)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16.1(13.0)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17.1(11.0)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18.3(11.7)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Flavones (mg/d)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1.3(1.6)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2.5(1.7)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4.7(2.1)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1.0(1.3)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2.0(1.1)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3.8(1.7)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Flavanones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7.6(5.0)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46.1(7.0)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122.0(48.0)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5.1(3.8)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34.8(6.9)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99.0(37.9)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Flavan-3ols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45.8(66.7)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43.5(53.6)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47.5(58.4)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50.1(77.7)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46.4(60.5)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50.9(69.3)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Anthocyanins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11.9(20.2)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14.8(18.1)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18.0(23.4)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11.9(19.0)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14.7(17.5)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16.4(21.1)</w:t>
            </w:r>
          </w:p>
        </w:tc>
      </w:tr>
      <w:tr w:rsidR="00253299" w:rsidRPr="008576A3" w:rsidTr="008576A3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Polymers (mg/day)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199.1(232.2)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202.2(188.3)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227.2(210.4)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212.2(261.7)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209.3(205.8)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227.3(237.2)</w:t>
            </w:r>
          </w:p>
        </w:tc>
      </w:tr>
    </w:tbl>
    <w:p w:rsidR="008576A3" w:rsidRPr="00AC675D" w:rsidRDefault="008576A3">
      <w:pPr>
        <w:rPr>
          <w:rFonts w:ascii="Times New Roman" w:hAnsi="Times New Roman" w:cs="Times New Roman"/>
          <w:sz w:val="24"/>
          <w:szCs w:val="24"/>
        </w:rPr>
      </w:pPr>
      <w:r w:rsidRPr="00AC675D">
        <w:rPr>
          <w:rFonts w:ascii="Times New Roman" w:hAnsi="Times New Roman" w:cs="Times New Roman"/>
          <w:sz w:val="24"/>
          <w:szCs w:val="24"/>
        </w:rPr>
        <w:t xml:space="preserve">NOTE: All variables (except age) are age-standardized; Continuous variables are described as mean (standard deviation); Physical activity is described  by the product sum of the metabolic 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equivalen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(MET) of each specific recreational activity and hours spent on the activity per week. Regular aspirin use is defined as ≥2 standard (325-mg) tablets of aspirin or ≥2 tablets of non-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steriodal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anti-inflammatory drugs (NSAIDs) per week.</w:t>
      </w:r>
      <w:r w:rsidRPr="00AC675D">
        <w:rPr>
          <w:rFonts w:ascii="Times New Roman" w:hAnsi="Times New Roman" w:cs="Times New Roman"/>
          <w:sz w:val="24"/>
          <w:szCs w:val="24"/>
        </w:rPr>
        <w:br w:type="page"/>
      </w:r>
    </w:p>
    <w:p w:rsidR="00253299" w:rsidRPr="00AC675D" w:rsidRDefault="00253299" w:rsidP="0025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027C8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gramEnd"/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: Age-standardized characteristics of person-years according to quintiles of </w:t>
      </w:r>
      <w:r w:rsidRPr="00AC675D">
        <w:rPr>
          <w:rFonts w:ascii="Times New Roman" w:eastAsia="Times New Roman" w:hAnsi="Times New Roman" w:cs="Times New Roman"/>
          <w:b/>
          <w:bCs/>
          <w:sz w:val="24"/>
          <w:szCs w:val="24"/>
        </w:rPr>
        <w:t>flavan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-3ol</w:t>
      </w:r>
      <w:r w:rsidRPr="00AC675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 intake in the Nurses' Health Study and in the Health Professionals Follow-Up Study</w:t>
      </w:r>
    </w:p>
    <w:tbl>
      <w:tblPr>
        <w:tblW w:w="11970" w:type="dxa"/>
        <w:tblInd w:w="93" w:type="dxa"/>
        <w:tblLook w:val="04A0" w:firstRow="1" w:lastRow="0" w:firstColumn="1" w:lastColumn="0" w:noHBand="0" w:noVBand="1"/>
      </w:tblPr>
      <w:tblGrid>
        <w:gridCol w:w="3420"/>
        <w:gridCol w:w="1351"/>
        <w:gridCol w:w="1351"/>
        <w:gridCol w:w="1462"/>
        <w:gridCol w:w="1462"/>
        <w:gridCol w:w="1462"/>
        <w:gridCol w:w="1462"/>
      </w:tblGrid>
      <w:tr w:rsidR="00253299" w:rsidRPr="008576A3" w:rsidTr="00CA132D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Health Professionals Follow-up Study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Nurses' Health Study </w:t>
            </w:r>
          </w:p>
        </w:tc>
      </w:tr>
      <w:tr w:rsidR="00253299" w:rsidRPr="008576A3" w:rsidTr="00CA132D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Age at baseline (y)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52.4(9.5)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52.2(9.2)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52.5(9.3)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49.9(7.2)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BMI (kg/m2)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26.3(3.8)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25.8(3.5)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25.8(3.5)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26.6(5.6)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26.0(5.0)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26.0(5.1)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Physical activity, METs/per week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28.6(36.2)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36.2(40.0)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33.3(39.2)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14.0(19.7)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18.7(23.0)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17.1(21.8)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Current/past smokers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Pack-years of smoking before age 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11.5(6.6)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10.6(6.4)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10.7(6.5)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7.4(5.4)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6.8(5.4)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6.9(5.4)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Family history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History of previous endoscopy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Regular aspirin or NSAID use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Dietary intake of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Alcohol (gm/day)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8.3(13.7)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12.1(14.0)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11.1(15.5)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5.1(10.3)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6.2(10.0)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5.1(9.6)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Calcium (</w:t>
            </w: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mgm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977.3(477.7)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978.3(455.7)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943.9(455.9)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1125.6(602.1)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1204.6(597.2)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1160.9(599.0)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Vitamin D (IU/day)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431.4(305.0)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460.3(313.5)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447.9(316.1)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401.5(303.2)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435.8(308.2)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425.9(310.6)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72.6(55.1)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55.4(44.2)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58.4(46.6)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61.0(43.6)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50.4(37.3)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52.5(39.1)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Processed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12.7(16.1)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9.6(12.7)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9.4(12.3)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9.8(11.9)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7.4(9.2)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7.6(9.7)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Total flavonoids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140.2(64.8)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266.4(83.1)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742.7(372.8)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125.7(74.1)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248.2(88.3)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796.4(403.0)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Flavonols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10.7(7.6)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16.7(8.6)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31.0(14.1)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9.7(7.2)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14.7(7.4)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31.2(13.7)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Flavones (mg/d)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2.1(1.9)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2.9(2.0)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2.9(2.1)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1.8(1.7)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2.4(1.6)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2.2(1.7)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Flavanones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46.3(46.9)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56.4(44.0)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54.5(46.0)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37.9(39.8)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45.2(36.9)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42.9(38.2)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Flavan-3ols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8.9(3.2)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25.5(3.6)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133.0(83.8)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7.3(2.7)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23.2(4.6)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152.1(92.2)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Anthocyanins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5.9(5.8)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16.2(12.4)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20.7(33.7)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5.8(5.6)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17.0(13.5)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18.0(27.4)</w:t>
            </w:r>
          </w:p>
        </w:tc>
      </w:tr>
      <w:tr w:rsidR="00253299" w:rsidRPr="008576A3" w:rsidTr="00CA132D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CA1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Polymers (mg/day)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66.3(34.0)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149.9(56.6)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506.0(283.8)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57.8(29.5)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142.1(49.7)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560.2(304.6)</w:t>
            </w:r>
          </w:p>
        </w:tc>
      </w:tr>
    </w:tbl>
    <w:p w:rsidR="008576A3" w:rsidRPr="00AC675D" w:rsidRDefault="00253299" w:rsidP="00253299">
      <w:pPr>
        <w:rPr>
          <w:rFonts w:ascii="Times New Roman" w:eastAsia="Times New Roman" w:hAnsi="Times New Roman" w:cs="Times New Roman"/>
          <w:sz w:val="24"/>
          <w:szCs w:val="24"/>
        </w:rPr>
      </w:pPr>
      <w:r w:rsidRPr="00AC675D">
        <w:rPr>
          <w:rFonts w:ascii="Times New Roman" w:hAnsi="Times New Roman" w:cs="Times New Roman"/>
          <w:sz w:val="24"/>
          <w:szCs w:val="24"/>
        </w:rPr>
        <w:t xml:space="preserve">NOTE: All variables (except age) are age-standardized; Continuous variables are described as mean (standard deviation); Physical activity is described  by the product sum of the metabolic 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equivalen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(MET) of each specific recreational activity and hours spent on the activity per week. Regular aspirin use is defined as ≥2 standard (325-mg) tablets of aspirin or ≥2 tablets of non-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steriodal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anti-inflammatory drugs (NSAIDs) per week.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Table </w:t>
      </w:r>
      <w:r w:rsidR="00027C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 xml:space="preserve">: Age-standardized characteristics of person-years according to quintiles of </w:t>
      </w:r>
      <w:proofErr w:type="spellStart"/>
      <w:r w:rsidR="008576A3" w:rsidRPr="00AC675D">
        <w:rPr>
          <w:rFonts w:ascii="Times New Roman" w:eastAsia="Times New Roman" w:hAnsi="Times New Roman" w:cs="Times New Roman"/>
          <w:b/>
          <w:bCs/>
          <w:sz w:val="24"/>
          <w:szCs w:val="24"/>
        </w:rPr>
        <w:t>anthocyanins</w:t>
      </w:r>
      <w:proofErr w:type="spellEnd"/>
      <w:r w:rsidR="008576A3" w:rsidRPr="00AC675D">
        <w:rPr>
          <w:rFonts w:ascii="Times New Roman" w:eastAsia="Times New Roman" w:hAnsi="Times New Roman" w:cs="Times New Roman"/>
          <w:sz w:val="24"/>
          <w:szCs w:val="24"/>
        </w:rPr>
        <w:t xml:space="preserve"> intake in the Nurses' Health Study and in the Health Professionals Follow-Up Study</w:t>
      </w:r>
    </w:p>
    <w:tbl>
      <w:tblPr>
        <w:tblW w:w="11970" w:type="dxa"/>
        <w:tblInd w:w="93" w:type="dxa"/>
        <w:tblLook w:val="04A0" w:firstRow="1" w:lastRow="0" w:firstColumn="1" w:lastColumn="0" w:noHBand="0" w:noVBand="1"/>
      </w:tblPr>
      <w:tblGrid>
        <w:gridCol w:w="3420"/>
        <w:gridCol w:w="1351"/>
        <w:gridCol w:w="1351"/>
        <w:gridCol w:w="1462"/>
        <w:gridCol w:w="1462"/>
        <w:gridCol w:w="1462"/>
        <w:gridCol w:w="1462"/>
      </w:tblGrid>
      <w:tr w:rsidR="008576A3" w:rsidRPr="008576A3" w:rsidTr="008576A3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Health Professionals Follow-up Study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Nurses' Health Study </w:t>
            </w:r>
          </w:p>
        </w:tc>
      </w:tr>
      <w:tr w:rsidR="008576A3" w:rsidRPr="008576A3" w:rsidTr="008576A3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A3" w:rsidRPr="008576A3" w:rsidRDefault="008576A3" w:rsidP="0085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Age at baseline (y)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52.1(9.5)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52.3(9.4)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52.7(9.3)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50.0(7.2)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50.0(7.1)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50.3(7.0)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BMI (kg/m2)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26.2(3.8)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25.9(3.5)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25.7(3.4)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26.5(5.5)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26.2(5.2)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25.8(4.9)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Physical activity, METs/per week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28.1(37.0)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33.9(38.8)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37.4(41.6)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13.0(19.5)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17.5(21.9)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20.5(25.4)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Current/past smokers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Pack-years of smoking before age 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11.5(6.6)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10.8(6.5)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10.7(6.5)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7.3(5.3)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6.8(5.3)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6.9(5.5)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Family history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History of previous endoscopy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Regular aspirin or NSAID use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Dietary intake of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Alcohol (gm/day)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11.3(17.1)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10.7(13.9)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11.9(15.4)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5.9(11.9)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5.4(9.3)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6.1(10.4)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Calcium (</w:t>
            </w: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mgm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935.1(463.8)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962.8(446.0)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1001.4(482.9)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1066.2(578.3)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1181.2(585.7)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1254.8(633.5)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Vitamin D (IU/day)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417.0(300.2)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444.4(306.1)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489.6(339.6)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385.0(294.9)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421.7(298.9)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463.1(331.3)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Red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72.1(55.3)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62.2(48.6)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44.3(37.9)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62.5(45.2)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56.3(40.6)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42.6(32.9)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Processed meat (g/day)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13.2(16.6)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10.7(13.6)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7.0(10.1)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10.2(12.4)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8.5(10.3)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5.8(8.0)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Total flavonoids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247.3(278.8)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335.7(259.2)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462.4(296.7)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268.6(327.7)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336.2(294.1)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444.9(321.6)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Flavonols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14.6(11.6)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18.3(11.3)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23.0(13.0)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14.1(11.8)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17.1(11.1)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20.9(12.5)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Flavones (mg/d)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2.0(1.8)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2.6(1.8)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3.5(2.2)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1.7(1.6)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2.2(1.5)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2.7(1.8)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Flavanones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43.9(46.0)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53.2(43.7)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62.5(47.5)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36.3(39.4)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42.3(36.0)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49.0(39.8)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Flavan-3ols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38.1(62.9)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44.1(56.5)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57.1(60.2)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43.8(74.5)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47.3(65.4)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59.3(69.6)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>Anthocyanins</w:t>
            </w:r>
            <w:proofErr w:type="spellEnd"/>
            <w:r w:rsidRPr="008576A3">
              <w:rPr>
                <w:rFonts w:ascii="Arial" w:eastAsia="Times New Roman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2.3(1.5)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10.1(4.3)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39.8(33.3)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2.1(1.4)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9.9(3.9)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38.6(29.5)</w:t>
            </w:r>
          </w:p>
        </w:tc>
      </w:tr>
      <w:tr w:rsidR="00253299" w:rsidRPr="008576A3" w:rsidTr="008576A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99" w:rsidRPr="008576A3" w:rsidRDefault="00253299" w:rsidP="00857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6A3">
              <w:rPr>
                <w:rFonts w:ascii="Arial" w:eastAsia="Times New Roman" w:hAnsi="Arial" w:cs="Arial"/>
                <w:sz w:val="20"/>
                <w:szCs w:val="20"/>
              </w:rPr>
              <w:t>Polymers (mg/day)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147.2(209.4)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208.3(194.5)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281.8(219.4)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167.7(246.1)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214.4(219.8)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3299" w:rsidRDefault="00253299" w:rsidP="00253299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279.6(239.5)</w:t>
            </w:r>
          </w:p>
        </w:tc>
      </w:tr>
    </w:tbl>
    <w:p w:rsidR="00A67A42" w:rsidRPr="00AC675D" w:rsidRDefault="008576A3" w:rsidP="00A67A42">
      <w:pPr>
        <w:rPr>
          <w:rFonts w:ascii="Times New Roman" w:hAnsi="Times New Roman" w:cs="Times New Roman"/>
          <w:sz w:val="24"/>
          <w:szCs w:val="24"/>
        </w:rPr>
        <w:sectPr w:rsidR="00A67A42" w:rsidRPr="00AC675D" w:rsidSect="008576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AC675D">
        <w:rPr>
          <w:rFonts w:ascii="Times New Roman" w:hAnsi="Times New Roman" w:cs="Times New Roman"/>
          <w:sz w:val="24"/>
          <w:szCs w:val="24"/>
        </w:rPr>
        <w:t xml:space="preserve">NOTE: All variables (except age) are age-standardized; Continuous variables are described as mean (standard deviation); Physical activity is described  by the product sum of the metabolic 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equivalen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(MET) of each specific recreational activity and hours spent on the activity per week. Regular aspirin use is defined as ≥2 standard (325-mg) tablets of aspirin or ≥2 tablets of non-</w:t>
      </w:r>
      <w:proofErr w:type="spellStart"/>
      <w:r w:rsidRPr="00AC675D">
        <w:rPr>
          <w:rFonts w:ascii="Times New Roman" w:hAnsi="Times New Roman" w:cs="Times New Roman"/>
          <w:sz w:val="24"/>
          <w:szCs w:val="24"/>
        </w:rPr>
        <w:t>steriodal</w:t>
      </w:r>
      <w:proofErr w:type="spellEnd"/>
      <w:r w:rsidRPr="00AC675D">
        <w:rPr>
          <w:rFonts w:ascii="Times New Roman" w:hAnsi="Times New Roman" w:cs="Times New Roman"/>
          <w:sz w:val="24"/>
          <w:szCs w:val="24"/>
        </w:rPr>
        <w:t xml:space="preserve"> anti-inflammatory drugs (NSAIDs) per week.</w:t>
      </w:r>
    </w:p>
    <w:p w:rsidR="00780640" w:rsidRPr="00AC675D" w:rsidRDefault="00780640" w:rsidP="00A67A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table </w:t>
      </w:r>
      <w:r w:rsidR="00027C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 Multivariable relative risks (RRs, 95% CIs) of </w:t>
      </w:r>
      <w:r w:rsidRPr="00AC675D">
        <w:rPr>
          <w:rFonts w:ascii="Times New Roman" w:eastAsia="Times New Roman" w:hAnsi="Times New Roman" w:cs="Times New Roman"/>
          <w:bCs/>
          <w:sz w:val="24"/>
          <w:szCs w:val="24"/>
        </w:rPr>
        <w:t>colorectal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 cancer according to quintiles (Q) of flavonoid intake at baseline </w:t>
      </w:r>
    </w:p>
    <w:tbl>
      <w:tblPr>
        <w:tblW w:w="7209" w:type="dxa"/>
        <w:tblInd w:w="93" w:type="dxa"/>
        <w:tblLook w:val="04A0" w:firstRow="1" w:lastRow="0" w:firstColumn="1" w:lastColumn="0" w:noHBand="0" w:noVBand="1"/>
      </w:tblPr>
      <w:tblGrid>
        <w:gridCol w:w="1893"/>
        <w:gridCol w:w="936"/>
        <w:gridCol w:w="1722"/>
        <w:gridCol w:w="936"/>
        <w:gridCol w:w="1722"/>
      </w:tblGrid>
      <w:tr w:rsidR="00A67A42" w:rsidRPr="00A67A42" w:rsidTr="00A67A42">
        <w:trPr>
          <w:trHeight w:val="282"/>
        </w:trPr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</w:tr>
      <w:tr w:rsidR="00A67A42" w:rsidRPr="00A67A42" w:rsidTr="00A67A42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No. of cases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1061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9E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E448D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</w:tr>
      <w:tr w:rsidR="00A67A42" w:rsidRPr="00A67A42" w:rsidTr="00A67A42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RR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RR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7A42">
              <w:rPr>
                <w:rFonts w:ascii="Arial" w:eastAsia="Times New Roman" w:hAnsi="Arial" w:cs="Arial"/>
                <w:sz w:val="20"/>
                <w:szCs w:val="20"/>
              </w:rPr>
              <w:t>(95% CI)</w:t>
            </w:r>
          </w:p>
        </w:tc>
      </w:tr>
      <w:tr w:rsidR="00A67A42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42" w:rsidRPr="00B04FDB" w:rsidRDefault="00A67A42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FDB">
              <w:rPr>
                <w:rFonts w:ascii="Arial" w:eastAsia="Times New Roman" w:hAnsi="Arial" w:cs="Arial"/>
                <w:sz w:val="20"/>
                <w:szCs w:val="20"/>
              </w:rPr>
              <w:t>Flavonols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42" w:rsidRPr="00B04FDB" w:rsidRDefault="00A67A42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42" w:rsidRPr="00B04FDB" w:rsidRDefault="00A67A42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42" w:rsidRPr="00B04FDB" w:rsidRDefault="00A67A42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42" w:rsidRPr="00B04FDB" w:rsidRDefault="00A67A42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482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Ref.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4825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(0.70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(0.94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1.30)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(0.76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(0.86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1.20)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(0.84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(0.89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1.25)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(0.82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(0.96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1.34)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p for trend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Flavones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599" w:rsidRPr="00A67A42" w:rsidTr="00B04FDB">
        <w:trPr>
          <w:trHeight w:val="29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Ref.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(0.74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(0.74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1.06)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(0.76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(0.82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1.17)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(0.91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1.33)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(0.72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1.04)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(0.83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(0.74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1.07)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p for trend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Flavanones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599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Ref.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(0.84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(0.83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1.19)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(0.91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1.34)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(0.85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1.22)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(0.86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(0.78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1.12)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(0.82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(0.81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1.17)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p for trend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Flavan-3ols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599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Ref.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(0.76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(0.66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0.96)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(0.82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(0.89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1.25)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(0.89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1.32)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(0.79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1.13)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(0.84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1.24)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(0.83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1.18)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p for trend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E71640" w:rsidRPr="00A67A42" w:rsidTr="00B04FDB">
        <w:trPr>
          <w:trHeight w:val="282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FDB">
              <w:rPr>
                <w:rFonts w:ascii="Arial" w:eastAsia="Times New Roman" w:hAnsi="Arial" w:cs="Arial"/>
                <w:sz w:val="20"/>
                <w:szCs w:val="20"/>
              </w:rPr>
              <w:t>Anthocyanidins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599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Ref.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99" w:rsidRPr="00B04FDB" w:rsidRDefault="00482599" w:rsidP="00027C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(0.77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(0.83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1.18)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(0.68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(0.71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1.02)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(0.90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1.31)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(0.75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1.08)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Quintile 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(0.71</w:t>
            </w:r>
            <w:r w:rsidR="00DF25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1.05)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(0.78</w:t>
            </w:r>
            <w:r w:rsidR="00DF25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4FDB">
              <w:rPr>
                <w:rFonts w:ascii="Arial" w:hAnsi="Arial" w:cs="Arial"/>
                <w:sz w:val="20"/>
                <w:szCs w:val="20"/>
              </w:rPr>
              <w:t>1.12)</w:t>
            </w:r>
          </w:p>
        </w:tc>
      </w:tr>
      <w:tr w:rsidR="00E71640" w:rsidRPr="00A67A42" w:rsidTr="00B04FDB">
        <w:trPr>
          <w:trHeight w:val="282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p for trend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4FDB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640" w:rsidRPr="00B04FDB" w:rsidRDefault="00E71640" w:rsidP="00B04F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DB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</w:tbl>
    <w:p w:rsidR="00A67A42" w:rsidRPr="00AC675D" w:rsidRDefault="00A67A42" w:rsidP="00A67A4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C675D">
        <w:rPr>
          <w:rFonts w:ascii="Times New Roman" w:eastAsia="Times New Roman" w:hAnsi="Times New Roman" w:cs="Times New Roman"/>
          <w:color w:val="000000"/>
          <w:szCs w:val="24"/>
        </w:rPr>
        <w:t>Multivariable relative risks were adjusted for age (in months), smoking before age 30, history of colorectal cancer in a parent or sibling (yes or no), history of endoscopy (yes or no), regular aspirin use (yes, no), postmenopausal hormone use (yes or no, in women only), body mass index (&lt;25, 25 to &lt;30, ≥30 kg/m2), physical activity (low, medium, high), alcohol consumption (0 to &lt;5, 5 to &lt;10, 10 to &lt;15, or ≥15 g/day), total calories (quintiles), energy-adjusted total vitamin D intake (quintiles), total calcium intake (quintiles), red meat intake (quintiles), processed meat intake (quintiles)</w:t>
      </w:r>
    </w:p>
    <w:p w:rsidR="00A67A42" w:rsidRPr="00AC675D" w:rsidRDefault="00A67A42">
      <w:pPr>
        <w:rPr>
          <w:rFonts w:ascii="Times New Roman" w:hAnsi="Times New Roman" w:cs="Times New Roman"/>
          <w:sz w:val="24"/>
          <w:szCs w:val="24"/>
        </w:rPr>
        <w:sectPr w:rsidR="00A67A42" w:rsidRPr="00AC675D" w:rsidSect="00A67A42">
          <w:pgSz w:w="12240" w:h="15840"/>
          <w:pgMar w:top="1418" w:right="1418" w:bottom="1134" w:left="1418" w:header="709" w:footer="709" w:gutter="0"/>
          <w:cols w:space="708"/>
          <w:docGrid w:linePitch="360"/>
        </w:sectPr>
      </w:pPr>
    </w:p>
    <w:p w:rsidR="00A67A42" w:rsidRPr="00AC675D" w:rsidRDefault="00A67A42" w:rsidP="00A6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Supplemental table </w:t>
      </w:r>
      <w:r w:rsidR="00027C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 Multivariable relative risks (RRs, 95% CIs) of </w:t>
      </w:r>
      <w:r w:rsidRPr="00B04FDB">
        <w:rPr>
          <w:rFonts w:ascii="Times New Roman" w:eastAsia="Times New Roman" w:hAnsi="Times New Roman" w:cs="Times New Roman"/>
          <w:bCs/>
          <w:sz w:val="24"/>
          <w:szCs w:val="24"/>
        </w:rPr>
        <w:t>colorectal</w:t>
      </w:r>
      <w:r w:rsidRPr="00AC675D">
        <w:rPr>
          <w:rFonts w:ascii="Times New Roman" w:eastAsia="Times New Roman" w:hAnsi="Times New Roman" w:cs="Times New Roman"/>
          <w:sz w:val="24"/>
          <w:szCs w:val="24"/>
        </w:rPr>
        <w:t xml:space="preserve"> cancer according to quintiles (Q) of flavonoid intake (cumulative updated average with different lags)</w:t>
      </w:r>
    </w:p>
    <w:tbl>
      <w:tblPr>
        <w:tblW w:w="14461" w:type="dxa"/>
        <w:tblInd w:w="93" w:type="dxa"/>
        <w:tblLook w:val="04A0" w:firstRow="1" w:lastRow="0" w:firstColumn="1" w:lastColumn="0" w:noHBand="0" w:noVBand="1"/>
      </w:tblPr>
      <w:tblGrid>
        <w:gridCol w:w="1164"/>
        <w:gridCol w:w="583"/>
        <w:gridCol w:w="1061"/>
        <w:gridCol w:w="583"/>
        <w:gridCol w:w="1061"/>
        <w:gridCol w:w="583"/>
        <w:gridCol w:w="1217"/>
        <w:gridCol w:w="528"/>
        <w:gridCol w:w="1160"/>
        <w:gridCol w:w="528"/>
        <w:gridCol w:w="1061"/>
        <w:gridCol w:w="583"/>
        <w:gridCol w:w="1061"/>
        <w:gridCol w:w="583"/>
        <w:gridCol w:w="1061"/>
        <w:gridCol w:w="583"/>
        <w:gridCol w:w="1061"/>
      </w:tblGrid>
      <w:tr w:rsidR="00A67A42" w:rsidRPr="00A67A42" w:rsidTr="00482599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Recent (0-4 year lag)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4-8 year lag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8-12 year lag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12-16 year lag</w:t>
            </w:r>
          </w:p>
        </w:tc>
      </w:tr>
      <w:tr w:rsidR="00A67A42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Men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Women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Men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Women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Men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Women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Men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Women</w:t>
            </w:r>
          </w:p>
        </w:tc>
      </w:tr>
      <w:tr w:rsidR="00DF253F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A67A42" w:rsidRDefault="00DF253F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No. of cases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</w:tr>
      <w:tr w:rsidR="00A67A42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RR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(95% CI)</w:t>
            </w:r>
          </w:p>
        </w:tc>
      </w:tr>
      <w:tr w:rsidR="00A67A42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proofErr w:type="spellStart"/>
            <w:r w:rsidRPr="00A67A42">
              <w:rPr>
                <w:rFonts w:ascii="Arial" w:eastAsia="Times New Roman" w:hAnsi="Arial" w:cs="Arial"/>
                <w:sz w:val="16"/>
                <w:szCs w:val="18"/>
              </w:rPr>
              <w:t>Flavonols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A67A42" w:rsidRDefault="00A67A42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482599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(1.01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1.41)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(0.75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(0.78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(0.54</w:t>
            </w:r>
            <w:r w:rsidR="00DF2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0.98)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1.23)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1.30)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(0.75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(0.81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1.26)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1.36)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(0.96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1.48)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(0.83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1.30)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(1.03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1.44)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(0.84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1.30)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(0.86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1.23)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p for trend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Flavones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599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A67A42" w:rsidRDefault="00482599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1.13)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(0.73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1.13)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(0.82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1.30)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(0.87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1.32)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(0.82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1.59)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(0.79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1.22)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(0.76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1.21)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(0.78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1.22)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(0.81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1.29)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p for trend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B04FDB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Flavanones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599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A67A42" w:rsidRDefault="00482599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1.02)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(0.75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(0.80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(0.53</w:t>
            </w:r>
            <w:r w:rsidR="00DF2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0.96)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1.29)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1.08)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(0.93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1.41)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(0.80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1.36)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1.13)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(0.77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1.20)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(0.73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1.07)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1.11)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1.08)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(0.79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1.23)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(0.81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(0.54</w:t>
            </w:r>
            <w:r w:rsidR="00DF2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1.00)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1.33)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p for trend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Flavan-3ols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599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A67A42" w:rsidRDefault="00482599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1.06)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(0.89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1.38)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(0.74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1.08)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1.05)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1.10)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1.41)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(0.76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1.10)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1.61)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1.52)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1.26)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1.08)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(1.00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1.55)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(0.78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1.13)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1.20)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(0.94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1.45)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(0.83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(0.89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1.45)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(0.77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p for trend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CA132D" w:rsidRPr="00A67A42" w:rsidTr="00482599">
        <w:trPr>
          <w:trHeight w:val="255"/>
        </w:trPr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A132D">
              <w:rPr>
                <w:rFonts w:ascii="Arial" w:eastAsia="Times New Roman" w:hAnsi="Arial" w:cs="Arial"/>
                <w:sz w:val="16"/>
                <w:szCs w:val="16"/>
              </w:rPr>
              <w:t>Anthocyanidins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599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A67A42" w:rsidRDefault="00482599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82599" w:rsidRPr="00DF253F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99" w:rsidRPr="00CA132D" w:rsidRDefault="00482599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lastRenderedPageBreak/>
              <w:t>Quintile 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(0.75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(0.84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1.21)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(0.51</w:t>
            </w:r>
            <w:r w:rsidR="00DF2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0.91)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1.22)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(0.76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(0.79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1.20)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(0.91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1.32)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1.02)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(0.83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1.16)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(0.77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1.17)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(0.83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1.22)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(0.70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(0.71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1.18)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Quintile 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(0.74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(0.92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1.28)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(0.74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1.15)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(0.86</w:t>
            </w:r>
            <w:r w:rsidR="00DF253F" w:rsidRP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F253F">
              <w:rPr>
                <w:rFonts w:ascii="Arial" w:hAnsi="Arial" w:cs="Arial"/>
                <w:sz w:val="16"/>
                <w:szCs w:val="16"/>
              </w:rPr>
              <w:t>1.26)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(0.65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1.07)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(0.78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1.14)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(0.52</w:t>
            </w:r>
            <w:r w:rsidR="00DF25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b/>
                <w:bCs/>
                <w:sz w:val="16"/>
                <w:szCs w:val="16"/>
              </w:rPr>
              <w:t>0.95)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(0.88</w:t>
            </w:r>
            <w:r w:rsidR="00DF25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A132D">
              <w:rPr>
                <w:rFonts w:ascii="Arial" w:hAnsi="Arial" w:cs="Arial"/>
                <w:sz w:val="16"/>
                <w:szCs w:val="16"/>
              </w:rPr>
              <w:t>1.34)</w:t>
            </w:r>
          </w:p>
        </w:tc>
      </w:tr>
      <w:tr w:rsidR="00CA132D" w:rsidRPr="00A67A42" w:rsidTr="00482599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A67A42" w:rsidRDefault="00CA132D" w:rsidP="00CA13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8"/>
              </w:rPr>
            </w:pPr>
            <w:r w:rsidRPr="00A67A42">
              <w:rPr>
                <w:rFonts w:ascii="Arial" w:eastAsia="Times New Roman" w:hAnsi="Arial" w:cs="Arial"/>
                <w:sz w:val="16"/>
                <w:szCs w:val="18"/>
              </w:rPr>
              <w:t>p for trend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2D" w:rsidRPr="00DF253F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2D" w:rsidRPr="00CA132D" w:rsidRDefault="00CA132D" w:rsidP="00CA132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32D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</w:tr>
    </w:tbl>
    <w:p w:rsidR="00A67A42" w:rsidRPr="00AC675D" w:rsidRDefault="00A67A42" w:rsidP="00A67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75D">
        <w:rPr>
          <w:rFonts w:ascii="Times New Roman" w:eastAsia="Times New Roman" w:hAnsi="Times New Roman" w:cs="Times New Roman"/>
          <w:color w:val="000000"/>
          <w:sz w:val="24"/>
          <w:szCs w:val="24"/>
        </w:rPr>
        <w:t>Multivariable relative risks were adjusted for age (in months), smoking before age 30, history of colorectal cancer in a parent or sibling (yes or no), history of endoscopy (yes or no), regular aspirin use (yes, no), postmenopausal hormone use (yes or no, in women only), body mass index (&lt;25, 25 to &lt;30, ≥30 kg/m2), physical activity (low, medium, high), alcohol consumption (0 to &lt;5, 5 to &lt;10, 10 to &lt;15, or ≥15 g/day), total calories (quintiles), energy-adjusted total vitamin D intake (quintiles), total calcium intake (quintiles), red meat intake (quintiles), processed meat intake (quintiles)</w:t>
      </w:r>
    </w:p>
    <w:p w:rsidR="00AC675D" w:rsidRPr="00AC675D" w:rsidRDefault="00AC675D" w:rsidP="00AC675D">
      <w:pPr>
        <w:jc w:val="both"/>
        <w:rPr>
          <w:rFonts w:ascii="Times New Roman" w:hAnsi="Times New Roman" w:cs="Times New Roman"/>
          <w:sz w:val="24"/>
          <w:szCs w:val="24"/>
        </w:rPr>
      </w:pPr>
      <w:r w:rsidRPr="00AC675D">
        <w:rPr>
          <w:rFonts w:ascii="Times New Roman" w:hAnsi="Times New Roman" w:cs="Times New Roman"/>
          <w:sz w:val="24"/>
          <w:szCs w:val="24"/>
        </w:rPr>
        <w:t xml:space="preserve">Statistically significant results are shown in </w:t>
      </w:r>
      <w:r w:rsidRPr="00AC675D">
        <w:rPr>
          <w:rFonts w:ascii="Times New Roman" w:hAnsi="Times New Roman" w:cs="Times New Roman"/>
          <w:b/>
          <w:sz w:val="24"/>
          <w:szCs w:val="24"/>
        </w:rPr>
        <w:t>bold</w:t>
      </w:r>
      <w:r w:rsidRPr="00AC675D">
        <w:rPr>
          <w:rFonts w:ascii="Times New Roman" w:hAnsi="Times New Roman" w:cs="Times New Roman"/>
          <w:sz w:val="24"/>
          <w:szCs w:val="24"/>
        </w:rPr>
        <w:t>.</w:t>
      </w:r>
      <w:r w:rsidRPr="00AC675D">
        <w:rPr>
          <w:rFonts w:ascii="Times New Roman" w:hAnsi="Times New Roman" w:cs="Times New Roman"/>
          <w:sz w:val="24"/>
          <w:szCs w:val="24"/>
        </w:rPr>
        <w:tab/>
      </w:r>
      <w:r w:rsidRPr="00AC675D">
        <w:rPr>
          <w:rFonts w:ascii="Times New Roman" w:hAnsi="Times New Roman" w:cs="Times New Roman"/>
          <w:sz w:val="24"/>
          <w:szCs w:val="24"/>
        </w:rPr>
        <w:tab/>
      </w:r>
      <w:r w:rsidRPr="00AC67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675D">
        <w:rPr>
          <w:rFonts w:ascii="Times New Roman" w:hAnsi="Times New Roman" w:cs="Times New Roman"/>
          <w:sz w:val="24"/>
          <w:szCs w:val="24"/>
        </w:rPr>
        <w:tab/>
      </w:r>
      <w:r w:rsidRPr="00AC675D">
        <w:rPr>
          <w:rFonts w:ascii="Times New Roman" w:hAnsi="Times New Roman" w:cs="Times New Roman"/>
          <w:sz w:val="24"/>
          <w:szCs w:val="24"/>
        </w:rPr>
        <w:tab/>
      </w:r>
      <w:r w:rsidRPr="00AC675D">
        <w:rPr>
          <w:rFonts w:ascii="Times New Roman" w:hAnsi="Times New Roman" w:cs="Times New Roman"/>
          <w:sz w:val="24"/>
          <w:szCs w:val="24"/>
        </w:rPr>
        <w:tab/>
      </w:r>
    </w:p>
    <w:p w:rsidR="00A67A42" w:rsidRPr="00AC675D" w:rsidRDefault="00A67A42">
      <w:pPr>
        <w:rPr>
          <w:rFonts w:ascii="Times New Roman" w:hAnsi="Times New Roman" w:cs="Times New Roman"/>
          <w:sz w:val="24"/>
          <w:szCs w:val="24"/>
        </w:rPr>
      </w:pPr>
      <w:r w:rsidRPr="00AC675D">
        <w:rPr>
          <w:rFonts w:ascii="Times New Roman" w:hAnsi="Times New Roman" w:cs="Times New Roman"/>
          <w:sz w:val="24"/>
          <w:szCs w:val="24"/>
        </w:rPr>
        <w:br w:type="page"/>
      </w:r>
    </w:p>
    <w:p w:rsidR="00A67A42" w:rsidRPr="00A67A42" w:rsidRDefault="00A67A42" w:rsidP="00A67A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7A42">
        <w:rPr>
          <w:rFonts w:ascii="Arial" w:eastAsia="Times New Roman" w:hAnsi="Arial" w:cs="Arial"/>
          <w:sz w:val="20"/>
          <w:szCs w:val="20"/>
        </w:rPr>
        <w:lastRenderedPageBreak/>
        <w:t xml:space="preserve">Supplemental table </w:t>
      </w:r>
      <w:r w:rsidR="00027C8C">
        <w:rPr>
          <w:rFonts w:ascii="Arial" w:eastAsia="Times New Roman" w:hAnsi="Arial" w:cs="Arial"/>
          <w:sz w:val="20"/>
          <w:szCs w:val="20"/>
        </w:rPr>
        <w:t>8</w:t>
      </w:r>
      <w:r w:rsidRPr="00A67A42">
        <w:rPr>
          <w:rFonts w:ascii="Arial" w:eastAsia="Times New Roman" w:hAnsi="Arial" w:cs="Arial"/>
          <w:sz w:val="20"/>
          <w:szCs w:val="20"/>
        </w:rPr>
        <w:t>: Relative risks (RRs, 95% CIs</w:t>
      </w:r>
      <w:r w:rsidR="00AC675D">
        <w:rPr>
          <w:rFonts w:ascii="Arial" w:eastAsia="Times New Roman" w:hAnsi="Arial" w:cs="Arial"/>
          <w:sz w:val="20"/>
          <w:szCs w:val="20"/>
        </w:rPr>
        <w:t>)</w:t>
      </w:r>
      <w:r w:rsidRPr="00A67A42">
        <w:rPr>
          <w:rFonts w:ascii="Arial" w:eastAsia="Times New Roman" w:hAnsi="Arial" w:cs="Arial"/>
          <w:sz w:val="20"/>
          <w:szCs w:val="20"/>
        </w:rPr>
        <w:t xml:space="preserve"> of colorectal cancer according to categories of selected flavonoid-rich foods (cumulative updated average</w:t>
      </w:r>
      <w:r w:rsidR="00AC675D">
        <w:rPr>
          <w:rFonts w:ascii="Arial" w:eastAsia="Times New Roman" w:hAnsi="Arial" w:cs="Arial"/>
          <w:sz w:val="20"/>
          <w:szCs w:val="20"/>
        </w:rPr>
        <w:t xml:space="preserve"> intake</w:t>
      </w:r>
      <w:r w:rsidRPr="00A67A42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14526" w:type="dxa"/>
        <w:tblInd w:w="93" w:type="dxa"/>
        <w:tblLook w:val="04A0" w:firstRow="1" w:lastRow="0" w:firstColumn="1" w:lastColumn="0" w:noHBand="0" w:noVBand="1"/>
      </w:tblPr>
      <w:tblGrid>
        <w:gridCol w:w="1114"/>
        <w:gridCol w:w="648"/>
        <w:gridCol w:w="528"/>
        <w:gridCol w:w="1009"/>
        <w:gridCol w:w="706"/>
        <w:gridCol w:w="528"/>
        <w:gridCol w:w="1009"/>
        <w:gridCol w:w="706"/>
        <w:gridCol w:w="528"/>
        <w:gridCol w:w="1009"/>
        <w:gridCol w:w="706"/>
        <w:gridCol w:w="528"/>
        <w:gridCol w:w="1009"/>
        <w:gridCol w:w="706"/>
        <w:gridCol w:w="528"/>
        <w:gridCol w:w="1009"/>
        <w:gridCol w:w="718"/>
        <w:gridCol w:w="528"/>
        <w:gridCol w:w="1009"/>
      </w:tblGrid>
      <w:tr w:rsidR="00A67A42" w:rsidRPr="0028745A" w:rsidTr="00DF253F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Colorectal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Colon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Rectum</w:t>
            </w:r>
          </w:p>
        </w:tc>
      </w:tr>
      <w:tr w:rsidR="00A67A42" w:rsidRPr="0028745A" w:rsidTr="00DF253F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Men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Men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Men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Women</w:t>
            </w:r>
          </w:p>
        </w:tc>
      </w:tr>
      <w:tr w:rsidR="00A67A42" w:rsidRPr="0028745A" w:rsidTr="00DF253F">
        <w:trPr>
          <w:trHeight w:val="51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No. of cases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No. of cases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No. of cases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No. of cases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No. of cases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No. of cases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RR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A42" w:rsidRPr="0028745A" w:rsidRDefault="00A67A42" w:rsidP="00A6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(95% CI)</w:t>
            </w:r>
          </w:p>
        </w:tc>
      </w:tr>
      <w:tr w:rsidR="00DF253F" w:rsidRPr="0028745A" w:rsidTr="00DF253F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28745A" w:rsidRDefault="00DF253F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Blueberries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53F" w:rsidRPr="00DF253F" w:rsidRDefault="00DF253F" w:rsidP="00DF253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&lt;1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159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</w:tr>
      <w:tr w:rsidR="009E448D" w:rsidRPr="0028745A" w:rsidTr="00DF253F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1-3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(0.86-1.20)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(0.95-1.22)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(0.79-1.14)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(0.93-1.25)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(0.92-1.79)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(0.86-1.20)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Calibri" w:eastAsia="Times New Roman" w:hAnsi="Calibri" w:cs="Arial"/>
                <w:sz w:val="16"/>
                <w:szCs w:val="16"/>
              </w:rPr>
              <w:t>≥</w:t>
            </w: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(0.74-1.23)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(0.95-1.27)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(0.66-1.20)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(0.90-1.25)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(0.72-2.04)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(0.74-1.23)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p for trend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Oranges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48D" w:rsidRPr="0028745A" w:rsidTr="00DF253F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&lt;1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</w:tr>
      <w:tr w:rsidR="009E448D" w:rsidRPr="0028745A" w:rsidTr="00DF253F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1-3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(0.92-1.33)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(0.80-1.17)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(0.91-1.39)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(0.81-1.25)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(0.71-1.55)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(0.92-1.33)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(0.93-1.34)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(0.81-1.15)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(0.94-1.41)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(0.81-1.20)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(0.69-1.48)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(0.93-1.34)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≥2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(0.89-1.30)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(0.83-1.21)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(0.90-1.38)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(0.84-1.27)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(0.63-1.43)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(0.89-1.30)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p for trend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Tea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&lt;1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(Ref.)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1-3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(0.90-1.35)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(0.65-0.96)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(0.90-1.43)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(0.64-0.99)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(0.65-1.56)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(0.90-1.35)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1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(0.88-1.28)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(0.76-1.06)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(0.93-1.41)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(0.78-1.14)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(0.54-1.22)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(0.88-1.28)</w:t>
            </w:r>
          </w:p>
        </w:tc>
      </w:tr>
      <w:tr w:rsidR="009E448D" w:rsidRPr="0028745A" w:rsidTr="00DF253F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2-4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(0.90-1.35)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(0.69-1.02)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(0.94-1.48)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(0.71-1.09)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(0.54-1.34)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(0.90-1.35)</w:t>
            </w:r>
          </w:p>
        </w:tc>
      </w:tr>
      <w:tr w:rsidR="009E448D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48D" w:rsidRPr="0028745A" w:rsidRDefault="009E448D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 xml:space="preserve">≥5 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svg</w:t>
            </w:r>
            <w:proofErr w:type="spellEnd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28745A">
              <w:rPr>
                <w:rFonts w:ascii="Arial" w:eastAsia="Times New Roman" w:hAnsi="Arial" w:cs="Arial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(0.92-1.30)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(0.82-1.11)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(0.94-1.38)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(0.79-1.10)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9E448D" w:rsidRDefault="009E448D" w:rsidP="009E448D">
            <w:pPr>
              <w:contextualSpacing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E448D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(0.67-1.41)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448D" w:rsidRPr="00DF253F" w:rsidRDefault="009E448D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(0.92-1.30)</w:t>
            </w:r>
          </w:p>
        </w:tc>
      </w:tr>
      <w:tr w:rsidR="00DF253F" w:rsidRPr="0028745A" w:rsidTr="00027C8C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28745A" w:rsidRDefault="00DF253F" w:rsidP="002874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8745A">
              <w:rPr>
                <w:rFonts w:ascii="Arial" w:eastAsia="Times New Roman" w:hAnsi="Arial" w:cs="Arial"/>
                <w:sz w:val="16"/>
                <w:szCs w:val="16"/>
              </w:rPr>
              <w:t>p for trend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53F" w:rsidRPr="00DF253F" w:rsidRDefault="00DF253F" w:rsidP="00027C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253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</w:tbl>
    <w:p w:rsidR="0028745A" w:rsidRPr="00AC675D" w:rsidRDefault="0028745A" w:rsidP="00287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5D">
        <w:rPr>
          <w:rFonts w:ascii="Times New Roman" w:hAnsi="Times New Roman" w:cs="Times New Roman"/>
          <w:sz w:val="24"/>
        </w:rPr>
        <w:t>Multivariable relative risks were adjusted for age (in months), smoking before age 30, history of colorectal cancer in a parent or sibling (yes or no), history of endoscopy (yes or no), regular aspirin use (yes, no), body mass index (&lt;25, 25 to &lt;30, ≥30 kg/m2), physical activity (low, medium, high), alcohol consumption (0 to &lt;5, 5 to &lt;10, 10 to &lt;15, or ≥15 g/day), total calories (quintiles), energy-adjusted total vitamin D intake (quintiles), and total calcium intake (quintiles) and total red meat intake (quintiles)</w:t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</w:p>
    <w:p w:rsidR="0028745A" w:rsidRPr="00AC675D" w:rsidRDefault="0028745A" w:rsidP="002874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C675D">
        <w:rPr>
          <w:rFonts w:ascii="Times New Roman" w:hAnsi="Times New Roman" w:cs="Times New Roman"/>
          <w:sz w:val="24"/>
        </w:rPr>
        <w:t>p</w:t>
      </w:r>
      <w:proofErr w:type="gramEnd"/>
      <w:r w:rsidRPr="00AC675D">
        <w:rPr>
          <w:rFonts w:ascii="Times New Roman" w:hAnsi="Times New Roman" w:cs="Times New Roman"/>
          <w:sz w:val="24"/>
        </w:rPr>
        <w:t xml:space="preserve"> for trend based on continuous variables (servings/day)</w:t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</w:p>
    <w:p w:rsidR="0028745A" w:rsidRPr="00AC675D" w:rsidRDefault="0028745A" w:rsidP="00287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75D">
        <w:rPr>
          <w:rFonts w:ascii="Times New Roman" w:hAnsi="Times New Roman" w:cs="Times New Roman"/>
          <w:sz w:val="24"/>
        </w:rPr>
        <w:t>Numbers of cases are slightly different by food type due to missing values</w:t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</w:p>
    <w:p w:rsidR="00A67A42" w:rsidRPr="00AC675D" w:rsidRDefault="0028745A" w:rsidP="0028745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C675D">
        <w:rPr>
          <w:rFonts w:ascii="Times New Roman" w:hAnsi="Times New Roman" w:cs="Times New Roman"/>
          <w:sz w:val="24"/>
        </w:rPr>
        <w:t>svg</w:t>
      </w:r>
      <w:proofErr w:type="spellEnd"/>
      <w:r w:rsidRPr="00AC675D">
        <w:rPr>
          <w:rFonts w:ascii="Times New Roman" w:hAnsi="Times New Roman" w:cs="Times New Roman"/>
          <w:sz w:val="24"/>
        </w:rPr>
        <w:t>/</w:t>
      </w:r>
      <w:proofErr w:type="spellStart"/>
      <w:r w:rsidRPr="00AC675D">
        <w:rPr>
          <w:rFonts w:ascii="Times New Roman" w:hAnsi="Times New Roman" w:cs="Times New Roman"/>
          <w:sz w:val="24"/>
        </w:rPr>
        <w:t>mo</w:t>
      </w:r>
      <w:proofErr w:type="spellEnd"/>
      <w:r w:rsidRPr="00AC675D">
        <w:rPr>
          <w:rFonts w:ascii="Times New Roman" w:hAnsi="Times New Roman" w:cs="Times New Roman"/>
          <w:sz w:val="24"/>
        </w:rPr>
        <w:t>=</w:t>
      </w:r>
      <w:proofErr w:type="gramEnd"/>
      <w:r w:rsidRPr="00AC675D">
        <w:rPr>
          <w:rFonts w:ascii="Times New Roman" w:hAnsi="Times New Roman" w:cs="Times New Roman"/>
          <w:sz w:val="24"/>
        </w:rPr>
        <w:t xml:space="preserve">servings per month; </w:t>
      </w:r>
      <w:proofErr w:type="spellStart"/>
      <w:r w:rsidRPr="00AC675D">
        <w:rPr>
          <w:rFonts w:ascii="Times New Roman" w:hAnsi="Times New Roman" w:cs="Times New Roman"/>
          <w:sz w:val="24"/>
        </w:rPr>
        <w:t>svg</w:t>
      </w:r>
      <w:proofErr w:type="spellEnd"/>
      <w:r w:rsidRPr="00AC675D">
        <w:rPr>
          <w:rFonts w:ascii="Times New Roman" w:hAnsi="Times New Roman" w:cs="Times New Roman"/>
          <w:sz w:val="24"/>
        </w:rPr>
        <w:t>/</w:t>
      </w:r>
      <w:proofErr w:type="spellStart"/>
      <w:r w:rsidRPr="00AC675D">
        <w:rPr>
          <w:rFonts w:ascii="Times New Roman" w:hAnsi="Times New Roman" w:cs="Times New Roman"/>
          <w:sz w:val="24"/>
        </w:rPr>
        <w:t>wk</w:t>
      </w:r>
      <w:proofErr w:type="spellEnd"/>
      <w:r w:rsidRPr="00AC675D">
        <w:rPr>
          <w:rFonts w:ascii="Times New Roman" w:hAnsi="Times New Roman" w:cs="Times New Roman"/>
          <w:sz w:val="24"/>
        </w:rPr>
        <w:t>=servings per week</w:t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  <w:r w:rsidRPr="00AC675D">
        <w:rPr>
          <w:rFonts w:ascii="Times New Roman" w:hAnsi="Times New Roman" w:cs="Times New Roman"/>
          <w:sz w:val="24"/>
        </w:rPr>
        <w:tab/>
      </w:r>
    </w:p>
    <w:sectPr w:rsidR="00A67A42" w:rsidRPr="00AC675D" w:rsidSect="008576A3"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3B" w:rsidRDefault="002C223B" w:rsidP="00E35FC6">
      <w:pPr>
        <w:spacing w:after="0" w:line="240" w:lineRule="auto"/>
      </w:pPr>
      <w:r>
        <w:separator/>
      </w:r>
    </w:p>
  </w:endnote>
  <w:endnote w:type="continuationSeparator" w:id="0">
    <w:p w:rsidR="002C223B" w:rsidRDefault="002C223B" w:rsidP="00E3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C6" w:rsidRDefault="00E35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C6" w:rsidRDefault="00E35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C6" w:rsidRDefault="00E35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3B" w:rsidRDefault="002C223B" w:rsidP="00E35FC6">
      <w:pPr>
        <w:spacing w:after="0" w:line="240" w:lineRule="auto"/>
      </w:pPr>
      <w:r>
        <w:separator/>
      </w:r>
    </w:p>
  </w:footnote>
  <w:footnote w:type="continuationSeparator" w:id="0">
    <w:p w:rsidR="002C223B" w:rsidRDefault="002C223B" w:rsidP="00E3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C6" w:rsidRDefault="00E35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C6" w:rsidRPr="00E35FC6" w:rsidRDefault="00E35FC6">
    <w:pPr>
      <w:pStyle w:val="Header"/>
      <w:rPr>
        <w:rFonts w:ascii="Times New Roman" w:hAnsi="Times New Roman" w:cs="Times New Roman"/>
        <w:sz w:val="24"/>
        <w:szCs w:val="24"/>
      </w:rPr>
    </w:pPr>
    <w:bookmarkStart w:id="0" w:name="_GoBack"/>
    <w:r w:rsidRPr="00E35FC6">
      <w:rPr>
        <w:rFonts w:ascii="Times New Roman" w:hAnsi="Times New Roman" w:cs="Times New Roman"/>
        <w:sz w:val="24"/>
        <w:szCs w:val="24"/>
      </w:rPr>
      <w:t>ONLINE SUPPLEMENTAL MATERIAL</w:t>
    </w:r>
  </w:p>
  <w:bookmarkEnd w:id="0"/>
  <w:p w:rsidR="00E35FC6" w:rsidRDefault="00E35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C6" w:rsidRDefault="00E35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A3"/>
    <w:rsid w:val="00027C8C"/>
    <w:rsid w:val="001F7C13"/>
    <w:rsid w:val="00253299"/>
    <w:rsid w:val="0028745A"/>
    <w:rsid w:val="002B58EF"/>
    <w:rsid w:val="002C223B"/>
    <w:rsid w:val="00482599"/>
    <w:rsid w:val="004B2E8E"/>
    <w:rsid w:val="005256E2"/>
    <w:rsid w:val="006C6824"/>
    <w:rsid w:val="00780640"/>
    <w:rsid w:val="007E7D35"/>
    <w:rsid w:val="008576A3"/>
    <w:rsid w:val="0094484F"/>
    <w:rsid w:val="009E448D"/>
    <w:rsid w:val="00A1706D"/>
    <w:rsid w:val="00A67A42"/>
    <w:rsid w:val="00AC675D"/>
    <w:rsid w:val="00B04FDB"/>
    <w:rsid w:val="00B54605"/>
    <w:rsid w:val="00CA132D"/>
    <w:rsid w:val="00DF253F"/>
    <w:rsid w:val="00E35FC6"/>
    <w:rsid w:val="00E71640"/>
    <w:rsid w:val="00EA6EA4"/>
    <w:rsid w:val="00FA70DB"/>
    <w:rsid w:val="00FD47C4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C6"/>
  </w:style>
  <w:style w:type="paragraph" w:styleId="Footer">
    <w:name w:val="footer"/>
    <w:basedOn w:val="Normal"/>
    <w:link w:val="FooterChar"/>
    <w:uiPriority w:val="99"/>
    <w:unhideWhenUsed/>
    <w:rsid w:val="00E3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C6"/>
  </w:style>
  <w:style w:type="paragraph" w:styleId="Footer">
    <w:name w:val="footer"/>
    <w:basedOn w:val="Normal"/>
    <w:link w:val="FooterChar"/>
    <w:uiPriority w:val="99"/>
    <w:unhideWhenUsed/>
    <w:rsid w:val="00E3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Nimptsch, Katharina</dc:creator>
  <cp:lastModifiedBy>Charlotte Phillips</cp:lastModifiedBy>
  <cp:revision>2</cp:revision>
  <cp:lastPrinted>2015-03-30T16:23:00Z</cp:lastPrinted>
  <dcterms:created xsi:type="dcterms:W3CDTF">2015-09-29T16:49:00Z</dcterms:created>
  <dcterms:modified xsi:type="dcterms:W3CDTF">2015-09-29T16:49:00Z</dcterms:modified>
</cp:coreProperties>
</file>